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39998-08-15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קישק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איאד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צווטקוב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ודים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חודטוב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  <w:r>
              <w:rPr>
                <w:rtl w:val="true"/>
              </w:rPr>
              <w:br/>
              <w:br/>
              <w:br/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"],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hanging="720" w:start="720"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12.7.15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רבייב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לרבייב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שידאג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30.7.15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33,500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התקדמותו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אוטומטיים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לניקוי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28,000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הפרשה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18.5.16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לג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כשלדבריו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הפלשתינאית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ודואגת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בנזקקותו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מקווקז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דומיננטיות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וסמכותיות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בגבעתי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נפקדות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שהצטברו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ובאשמה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אדפטיביות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אלמנטים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מדוקדק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להתרועעות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ומניסיונותיו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אנרגיות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ותוקפנות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22.9.16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מהשתתפותו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מהשתתפות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הנכונה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ותמורתם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בלעדי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הושלמה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לרבייב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לגישתה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היוזמים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ולהודאתו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מבוססת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לגישתו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לחילופין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ערך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המוגן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טומנות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לקיפוח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אזרחים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בגורלם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יובילו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ודוק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להילקח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שיתפתה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ברגעי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ascii="Calibri" w:hAnsi="Calibri" w:cs="Calibri"/>
          <w:b/>
          <w:b/>
          <w:bCs/>
          <w:rtl w:val="true"/>
        </w:rPr>
        <w:t xml:space="preserve">ה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הניסיון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מפוקפק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למפגעים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למיניהם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הוכיחו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מהססים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להשתמש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סואנים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שנקלעו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מקרה</w:t>
      </w:r>
      <w:r>
        <w:rPr>
          <w:rFonts w:cs="Calibri" w:ascii="Calibri" w:hAnsi="Calibri"/>
          <w:b/>
          <w:bCs/>
          <w:rtl w:val="true"/>
        </w:rPr>
        <w:t xml:space="preserve">'...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הישראלית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יתגלגל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לעצמו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המבקשים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להוציא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עוינת</w:t>
      </w:r>
      <w:r>
        <w:rPr>
          <w:rFonts w:cs="Calibri" w:ascii="Calibri" w:hAnsi="Calibri"/>
          <w:b/>
          <w:bCs/>
          <w:rtl w:val="true"/>
        </w:rPr>
        <w:t>...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שהופך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במנגנון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ויודע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הנובעות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נפעא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4.12.11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נפעא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והדומיננטיות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ממילואים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צודקת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כחוליית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שמצידו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להתגלגל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cs="Calibri"/>
          <w:b/>
          <w:b/>
          <w:bCs/>
          <w:rtl w:val="true"/>
        </w:rPr>
        <w:t>תחילה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להזכיר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הנגזרים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במגמה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שכתבתי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cs="Calibri" w:ascii="Calibri" w:hAnsi="Calibri"/>
          <w:b/>
          <w:bCs/>
          <w:rtl w:val="true"/>
        </w:rPr>
        <w:t>: '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המימדים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 xml:space="preserve">'..."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מצטרף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ארבל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בעונשיהן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שהראתה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השילוב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חולירע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שמאי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הפתגם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בתיאטרון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במציאות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לקוות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הפקר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').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שרשרת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נפעא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ברזיל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21.12.14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לתשלום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בתיווך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52101-02-15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מחאג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21.12.15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21,800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24</w:t>
      </w:r>
      <w:r>
        <w:rPr>
          <w:rFonts w:cs="Calibri" w:ascii="Calibri" w:hAnsi="Calibri"/>
          <w:u w:val="single"/>
          <w:rtl w:val="true"/>
        </w:rPr>
        <w:t xml:space="preserve"> - </w:t>
      </w:r>
      <w:r>
        <w:rPr>
          <w:rFonts w:cs="Calibri" w:ascii="Calibri" w:hAnsi="Calibri"/>
          <w:u w:val="single"/>
        </w:rPr>
        <w:t>48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לעניינו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7391/08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25.11.08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 </w:t>
      </w:r>
      <w:r>
        <w:rPr>
          <w:rFonts w:cs="Calibri" w:ascii="Calibri" w:hAnsi="Calibri"/>
          <w:u w:val="single"/>
        </w:rPr>
        <w:t>10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cs="Calibri" w:ascii="Calibri" w:hAnsi="Calibri"/>
          <w:u w:val="single"/>
        </w:rPr>
        <w:t>24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שוכנעתי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ועמדותיו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>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שאינן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מאוזנת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וראויה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ובעקשנותו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שוכנעתי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כשהתחשבתי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ומבצעיהן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b/>
          <w:bCs/>
          <w:rtl w:val="true"/>
        </w:rPr>
        <w:t xml:space="preserve">            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30.7.15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          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תשומת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ס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להמלצת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  <w:r>
        <w:rPr>
          <w:rFonts w:ascii="Calibri" w:hAnsi="Calibri" w:cs="Calibri"/>
          <w:u w:val="single"/>
          <w:rtl w:val="true"/>
        </w:rPr>
        <w:t xml:space="preserve">  </w:t>
      </w:r>
      <w:r>
        <w:rPr>
          <w:rFonts w:ascii="Calibri" w:hAnsi="Calibri" w:cs="Calibri"/>
          <w:u w:val="single"/>
          <w:rtl w:val="true"/>
        </w:rPr>
        <w:t>לבחון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התאמתו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להשתלבות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בהליך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שיקומי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במהלך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המאסר</w:t>
      </w:r>
      <w:r>
        <w:rPr>
          <w:rFonts w:cs="Calibri" w:ascii="Calibri" w:hAnsi="Calibri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31.7.15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27.10.15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טלפונים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08-9787377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08-9787336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להתייצבות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המזכירות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תשלח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החלטה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זו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למנהלת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האיזוק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האלקטרוני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39998-08-15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איאד קישק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.a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5821327" TargetMode="External"/><Relationship Id="rId17" Type="http://schemas.openxmlformats.org/officeDocument/2006/relationships/hyperlink" Target="http://www.nevo.co.il/law/70301/40i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3090914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0101906" TargetMode="External"/><Relationship Id="rId23" Type="http://schemas.openxmlformats.org/officeDocument/2006/relationships/hyperlink" Target="http://www.nevo.co.il/case/1726081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2017-07-20T14:08:00Z</dcterms:created>
  <dc:creator> </dc:creator>
  <dc:description/>
  <cp:keywords/>
  <dc:language>en-IL</dc:language>
  <cp:lastModifiedBy>run</cp:lastModifiedBy>
  <dcterms:modified xsi:type="dcterms:W3CDTF">2017-07-20T14:08:00Z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קישק  ;ודים חודטוב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7791493;5821327;13090914;20101906;1726081</vt:lpwstr>
  </property>
  <property fmtid="{D5CDD505-2E9C-101B-9397-08002B2CF9AE}" pid="9" name="CITY">
    <vt:lpwstr>מרכז</vt:lpwstr>
  </property>
  <property fmtid="{D5CDD505-2E9C-101B-9397-08002B2CF9AE}" pid="10" name="DATE">
    <vt:lpwstr>20161027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70301/144.b2:2;144.a;025;040c.a;040i.a;144:2</vt:lpwstr>
  </property>
  <property fmtid="{D5CDD505-2E9C-101B-9397-08002B2CF9AE}" pid="15" name="LAWYER">
    <vt:lpwstr>אביטל פינק;;צווטקוב;בויראת;ג'ברין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39998</vt:lpwstr>
  </property>
  <property fmtid="{D5CDD505-2E9C-101B-9397-08002B2CF9AE}" pid="22" name="NEWPARTB">
    <vt:lpwstr>08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390020161027</vt:lpwstr>
  </property>
  <property fmtid="{D5CDD505-2E9C-101B-9397-08002B2CF9AE}" pid="34" name="TYPE_N_DATE">
    <vt:lpwstr>39020161027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