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40056-02-22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סויטאת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51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ראמי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סויטאת</w:t>
            </w:r>
            <w:r>
              <w:rPr>
                <w:b/>
                <w:bCs/>
                <w:rtl w:val="true"/>
              </w:rPr>
              <w:t>,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הודה והורשע בעבירות המיוחסות לו בכתב האישום שעניינן באישום הראשון שתי עבירות של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ascii="Arial" w:hAnsi="Arial" w:cs="Arial"/>
          <w:rtl w:val="true"/>
        </w:rPr>
        <w:t xml:space="preserve"> 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היזק בזדון בצוותא</w:t>
      </w:r>
      <w:r>
        <w:rPr>
          <w:rFonts w:ascii="Arial" w:hAnsi="Arial" w:cs="Arial"/>
          <w:rtl w:val="true"/>
        </w:rPr>
        <w:t xml:space="preserve"> לפי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+ </w:t>
      </w:r>
      <w:hyperlink r:id="rId17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ובאישום השני </w:t>
      </w:r>
      <w:r>
        <w:rPr>
          <w:rFonts w:ascii="Arial" w:hAnsi="Arial" w:cs="Arial"/>
          <w:b/>
          <w:b/>
          <w:bCs/>
          <w:rtl w:val="true"/>
        </w:rPr>
        <w:t>עבירות בנשק – הובלה ונשיאת נשק ותחמושת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החזקת נשק ותחמושת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וירי מנשק חם 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מבלי שנשמעו ראיות בתיק וללא כל הסכמה מצד המאשימה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bookmarkStart w:id="9" w:name="ABSTRACT_END"/>
      <w:bookmarkEnd w:id="9"/>
      <w:r>
        <w:rPr>
          <w:rFonts w:ascii="Arial" w:hAnsi="Arial" w:cs="Arial"/>
          <w:u w:val="single"/>
          <w:rtl w:val="true"/>
        </w:rPr>
        <w:t xml:space="preserve">עובדות כתב האישום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האישום הראשון עניינו באירועים שהתרחשו במהלך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מבצע שומר חומות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תקופה בה התעורר גל של הפרות סדר והתפרעויות אלימות ברחבי הארץ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לאומני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בתאריכים </w:t>
      </w:r>
      <w:r>
        <w:rPr>
          <w:rFonts w:cs="Arial" w:ascii="Arial" w:hAnsi="Arial"/>
        </w:rPr>
        <w:t>11-12.05.2021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התקהלו ללא אישור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עשרות רבות של אנשים בכניסה הדרום מזרחית לכפר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דיידה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לכביש הבינעירוני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בצומת הכניסה הדרומית לכפר מכר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לכביש הבינעירוני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המשתתפים בהתקהלויות חסמו את הצמתים והפריעו לתנועה באמצעות רכב וצמיגים בוערים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ויידו אבנים ובקבוקי תבערה לעבר שוטרים שפעלו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בהיותו רעול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חלק בהתפרעויות בצומת מכר ולאחר מכן בצומת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דיידה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שיידה אבנים לעבר הרמזורים בצמתים ויחד עם אחרים גרם לכך שהרמזורים בצמתים הפסיקו לפעול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האישום השני עוסק בכך שבתקופה שבין אוקטובר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למעצרו בינואר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שלא כדין אקדח ומחסנית עם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לעיתים הסתובב הנאשם עם האקדח באזור מגוריו ובמספר הזדמנויות ירה מנשקו בשטחים פתוחים כשלושים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מעצרו הסגיר הנאשם את האקדח והתחמושת לידי החוקרים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העריך כי קיים סיכון להישנות עבירות וכי סיכויי השיקום נמוכים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זאת לא המליץ על ענישה בעלת מאפיינים שיקומיים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בן דודו של הנאשם העיד כי הנאשם מגיע ממשפחה טובה אשר חלק מבניה שירתו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וכי בכוונתם ללוות אותו לאחר השחרור כדי להחזירו לתלם הנורמטיבי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טיעונים לעונש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טענו לעונש ההולם לעמדתם ותמכו עתירתם העונשית בפסיקה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עתרה לקביעת שני מתחמים נפרדים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את הפגיעה בערכים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הסדר הציבורי והגנה על חיי אדם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את העובדה שהתפרעות הנאשם בוצעה בצוותא עם אחרים במצב בטחוני מתוח ורגיש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הנזק שנגרם לרמזורים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כמו כן הדגישה את אחריותו המלאה של הנאשם לעבירות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פוטנציאל המסוכנות שטמון 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התממש במקרה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להשקפת המאשימה מתחם העונש ההולם בעבירות ההתפרעות נע בין שמונה עשר ועד שלושים 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ובעבירות הנשק נע בין שלושים ושישה חודשי מאסר ועד שישים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עתרה להטיל על הנאשם עונשים במחצית התחתונה של כל 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להשקפתה ראוי כי יצטברו זה לזה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ולצד זה עונש מאסר מותנה משמעותי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הדגיש את העובדה כי הנאשם הינו צעיר כבן עשרים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שהודה במיוחס לו בהזדמנות הראשונה והביע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נמצא במעצר ממשי מזה כחמישה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טען כי מרשו נגרר בעקבות אחרים להשתתף בהתפרעות וחלקו היה קטן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כלל אינו יודע האם אבן שזרק היא שפגעה ברמזור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 יוחסה לו השלכת אבנים לעבר כוחות הביטחון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ציין שחלפה שנה וחודש מאז האירוע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לגבי עבירות הנשק טען כי נעברו על רקע ילדותי במטרה לעשות רושם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הסגיר את הנשק ביוזמתו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לעבירות האישום הראשון הסנגור טען למתחם עונש הולם שנע בין מאסר על תנאי וקנס ועד מספר חודשי מאסר בפועל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ועתר להטלת עונש צופה פני 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לעבירות האישום השני טען למתחם שנע בין עשרה לבין שמונה עשר חודשי מאסר בפועל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הסניגור ביקש להימנע מהטלת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מצבם הכלכלי הקשה של הנאשם ומשפחתו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בדברו האחרון הביע חרטה וטען שביצע את העבירות על רקע ילדותי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ציין כי הוא נעדר עבר פלילי וכי הסגיר את הנשק לחוקריו במהלך חקירתו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דיון והכרעה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האישום הראשון 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ascii="Arial" w:hAnsi="Arial" w:cs="Arial"/>
          <w:u w:val="single"/>
          <w:rtl w:val="true"/>
        </w:rPr>
        <w:t>עבירות התפרעות והיזק בזדון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המוגנים העומדים ביסוד עבירות ההתפרעות וההיזק בזדון הינם שמירה על שלטון החוק והסדר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שלום הציבור ובטחונו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הרכוש ובמקרה זה גם חופש התנועה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מקרה זה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עיתוי ואופי ההתפרעות במהלך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מבצע שומר חומות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>חסימת עורקי תנועה בינעירוניים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זריקת אבנים לעבר רמזורים וגרימת נזק לאותם רמזורים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השתתפותו של הנאשם בשני אירועים דומים והעובדה שהנאשם השתתף בהתפרעות בפנים מוסתרות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מצאתי כי הפגיעה בערכים המוגנים היא ברף הבינוני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לעבירות התפרעות המון ולמשקל שיש לתת גם למועד בו התרחשו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בפרט על רקע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מבצע שומר חומות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התייחס בית המשפט העליון לאחרונה 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901/22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24.02.2022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850" w:end="850"/>
        <w:jc w:val="both"/>
        <w:rPr/>
      </w:pPr>
      <w:r>
        <w:rPr>
          <w:rFonts w:cs="FrankRuehl" w:ascii="FrankRuehl" w:hAnsi="FrankRuehl"/>
          <w:sz w:val="26"/>
          <w:szCs w:val="26"/>
          <w:rtl w:val="true"/>
        </w:rPr>
        <w:t>"[...]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בית משפט זה עמד לא אחת על החומרה הגלומה בעבירות התפרעויות המונים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אשר מציבות סכנה ישירה וממשית לחיי אדם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ואף עלולות להוביל לפגיעות רציניות בגוף ורכוש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לפיכך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נקבע כי יש לנקוט במדיניות ענישה אשר תרתיע ותרסן התפרעויות העלולות לסחוף המון רב ולצאת מגדר שליטה </w:t>
      </w:r>
      <w:r>
        <w:rPr>
          <w:rFonts w:cs="FrankRuehl" w:ascii="FrankRuehl" w:hAnsi="FrankRuehl"/>
          <w:sz w:val="26"/>
          <w:szCs w:val="26"/>
          <w:rtl w:val="true"/>
        </w:rPr>
        <w:t>(</w:t>
      </w:r>
      <w:hyperlink r:id="rId23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</w:rPr>
          <w:t>7211/04</w:t>
        </w:r>
      </w:hyperlink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פלוני</w:t>
      </w:r>
      <w:r>
        <w:rPr>
          <w:rFonts w:cs="Miriam" w:ascii="FrankRuehl" w:hAnsi="FrankRuehl"/>
          <w:sz w:val="26"/>
          <w:szCs w:val="26"/>
          <w:rtl w:val="true"/>
        </w:rPr>
        <w:t>,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פסקה </w:t>
      </w:r>
      <w:r>
        <w:rPr>
          <w:rFonts w:cs="FrankRuehl" w:ascii="FrankRuehl" w:hAnsi="FrankRuehl"/>
          <w:sz w:val="26"/>
          <w:szCs w:val="26"/>
        </w:rPr>
        <w:t>10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לפסק דינה של השופטת </w:t>
      </w:r>
      <w:r>
        <w:rPr>
          <w:rFonts w:ascii="FrankRuehl" w:hAnsi="FrankRuehl" w:cs="Miriam"/>
          <w:rtl w:val="true"/>
        </w:rPr>
        <w:t>א</w:t>
      </w:r>
      <w:r>
        <w:rPr>
          <w:rFonts w:cs="Miriam" w:ascii="FrankRuehl" w:hAnsi="FrankRuehl"/>
          <w:rtl w:val="true"/>
        </w:rPr>
        <w:t>'</w:t>
      </w:r>
      <w:r>
        <w:rPr>
          <w:rFonts w:cs="Miriam" w:ascii="FrankRuehl" w:hAnsi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פרוקציה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sz w:val="26"/>
          <w:szCs w:val="26"/>
          <w:rtl w:val="true"/>
        </w:rPr>
        <w:t>[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פורסם בנבו</w:t>
      </w:r>
      <w:r>
        <w:rPr>
          <w:rFonts w:cs="FrankRuehl" w:ascii="FrankRuehl" w:hAnsi="FrankRuehl"/>
          <w:sz w:val="26"/>
          <w:szCs w:val="26"/>
          <w:rtl w:val="true"/>
        </w:rPr>
        <w:t>] (</w:t>
      </w:r>
      <w:r>
        <w:rPr>
          <w:rFonts w:cs="FrankRuehl" w:ascii="FrankRuehl" w:hAnsi="FrankRuehl"/>
          <w:sz w:val="26"/>
          <w:szCs w:val="26"/>
        </w:rPr>
        <w:t>13.3.2006</w:t>
      </w:r>
      <w:r>
        <w:rPr>
          <w:rFonts w:cs="FrankRuehl" w:ascii="FrankRuehl" w:hAnsi="FrankRuehl"/>
          <w:sz w:val="26"/>
          <w:szCs w:val="26"/>
          <w:rtl w:val="true"/>
        </w:rPr>
        <w:t xml:space="preserve">)).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עמד על כך בית משפט זה בפרשה אחרת</w:t>
      </w:r>
      <w:r>
        <w:rPr>
          <w:rFonts w:cs="FrankRuehl" w:ascii="FrankRuehl" w:hAnsi="FrankRuehl"/>
          <w:sz w:val="26"/>
          <w:szCs w:val="26"/>
          <w:rtl w:val="true"/>
        </w:rPr>
        <w:t>:</w:t>
      </w:r>
    </w:p>
    <w:p>
      <w:pPr>
        <w:pStyle w:val="Normal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start="1417" w:end="1417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  <w:t>"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התפרעויות של המונים בכלל ועל רקע לאומני בפרט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צריכות לזכות לתגובה עונשית קשה וכואבת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יהיה מוצאם של המתפרעים אשר יהיה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כך נוהגת מדינת חוק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וכך זכאים לצפות כל הבאים בשעריו של בית המשפט</w:t>
      </w:r>
      <w:r>
        <w:rPr>
          <w:rFonts w:cs="FrankRuehl" w:ascii="FrankRuehl" w:hAnsi="FrankRuehl"/>
          <w:sz w:val="26"/>
          <w:szCs w:val="26"/>
          <w:rtl w:val="true"/>
        </w:rPr>
        <w:t>" (</w:t>
      </w:r>
      <w:hyperlink r:id="rId24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</w:rPr>
          <w:t>2285/05</w:t>
        </w:r>
      </w:hyperlink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מדינת ישראל נ</w:t>
      </w:r>
      <w:r>
        <w:rPr>
          <w:rFonts w:cs="FrankRuehl" w:ascii="FrankRuehl" w:hAnsi="FrankRuehl"/>
          <w:sz w:val="26"/>
          <w:szCs w:val="26"/>
          <w:rtl w:val="true"/>
        </w:rPr>
        <w:t xml:space="preserve">'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חמד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פסקה </w:t>
      </w:r>
      <w:r>
        <w:rPr>
          <w:rFonts w:cs="FrankRuehl" w:ascii="FrankRuehl" w:hAnsi="FrankRuehl"/>
          <w:sz w:val="26"/>
          <w:szCs w:val="26"/>
        </w:rPr>
        <w:t>7</w:t>
      </w:r>
      <w:r>
        <w:rPr>
          <w:rFonts w:cs="FrankRuehl" w:ascii="FrankRuehl" w:hAnsi="FrankRuehl"/>
          <w:sz w:val="26"/>
          <w:szCs w:val="26"/>
          <w:rtl w:val="true"/>
        </w:rPr>
        <w:t xml:space="preserve"> [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פורסם בנבו</w:t>
      </w:r>
      <w:r>
        <w:rPr>
          <w:rFonts w:cs="FrankRuehl" w:ascii="FrankRuehl" w:hAnsi="FrankRuehl"/>
          <w:sz w:val="26"/>
          <w:szCs w:val="26"/>
          <w:rtl w:val="true"/>
        </w:rPr>
        <w:t>] (</w:t>
      </w:r>
      <w:r>
        <w:rPr>
          <w:rFonts w:cs="FrankRuehl" w:ascii="FrankRuehl" w:hAnsi="FrankRuehl"/>
          <w:sz w:val="26"/>
          <w:szCs w:val="26"/>
        </w:rPr>
        <w:t>5.12.2005</w:t>
      </w:r>
      <w:r>
        <w:rPr>
          <w:rFonts w:cs="FrankRuehl" w:ascii="FrankRuehl" w:hAnsi="FrankRuehl"/>
          <w:sz w:val="26"/>
          <w:szCs w:val="26"/>
          <w:rtl w:val="true"/>
        </w:rPr>
        <w:t>) (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להלן</w:t>
      </w:r>
      <w:r>
        <w:rPr>
          <w:rFonts w:cs="FrankRuehl" w:ascii="FrankRuehl" w:hAnsi="FrankRuehl"/>
          <w:sz w:val="26"/>
          <w:szCs w:val="26"/>
          <w:rtl w:val="true"/>
        </w:rPr>
        <w:t xml:space="preserve">: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עניין חמד</w:t>
      </w:r>
      <w:r>
        <w:rPr>
          <w:rFonts w:cs="FrankRuehl" w:ascii="FrankRuehl" w:hAnsi="FrankRuehl"/>
          <w:sz w:val="26"/>
          <w:szCs w:val="26"/>
          <w:rtl w:val="true"/>
        </w:rPr>
        <w:t>))[...]</w:t>
      </w:r>
    </w:p>
    <w:p>
      <w:pPr>
        <w:pStyle w:val="Normal"/>
        <w:ind w:start="1417" w:end="1417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start="850" w:end="850"/>
        <w:jc w:val="both"/>
        <w:rPr/>
      </w:pPr>
      <w:r>
        <w:rPr>
          <w:rFonts w:cs="FrankRuehl" w:ascii="FrankRuehl" w:hAnsi="FrankRuehl"/>
          <w:sz w:val="26"/>
          <w:szCs w:val="26"/>
          <w:rtl w:val="true"/>
        </w:rPr>
        <w:t xml:space="preserve">[...]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במצבים אלה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אחריותו של המשיב אינה נקבעת אך על פי תרומתו הישירה לאירוע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אלא מתוך ראיה רחבה יותר של מטרתו המשותפת של ההמון שהוא היה חלק ממנו </w:t>
      </w:r>
      <w:r>
        <w:rPr>
          <w:rFonts w:cs="FrankRuehl" w:ascii="FrankRuehl" w:hAnsi="FrankRuehl"/>
          <w:sz w:val="26"/>
          <w:szCs w:val="26"/>
          <w:rtl w:val="true"/>
        </w:rPr>
        <w:t>(</w:t>
      </w:r>
      <w:hyperlink r:id="rId25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</w:rPr>
          <w:t>10423/07</w:t>
        </w:r>
      </w:hyperlink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סיטר</w:t>
      </w:r>
      <w:r>
        <w:rPr>
          <w:rFonts w:ascii="FrankRuehl" w:hAnsi="FrankRuehl" w:cs="Miriam"/>
          <w:rtl w:val="true"/>
        </w:rPr>
        <w:t>ין</w:t>
      </w:r>
      <w:r>
        <w:rPr>
          <w:rFonts w:cs="Miriam" w:ascii="FrankRuehl" w:hAnsi="FrankRuehl"/>
          <w:sz w:val="26"/>
          <w:szCs w:val="26"/>
          <w:rtl w:val="true"/>
        </w:rPr>
        <w:t>,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פסקה </w:t>
      </w:r>
      <w:r>
        <w:rPr>
          <w:rFonts w:cs="FrankRuehl" w:ascii="FrankRuehl" w:hAnsi="FrankRuehl"/>
          <w:sz w:val="26"/>
          <w:szCs w:val="26"/>
        </w:rPr>
        <w:t>11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cs="FrankRuehl" w:ascii="FrankRuehl" w:hAnsi="FrankRuehl"/>
          <w:sz w:val="26"/>
          <w:szCs w:val="26"/>
          <w:rtl w:val="true"/>
        </w:rPr>
        <w:t>]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פורסם בנבו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 </w:t>
      </w:r>
      <w:r>
        <w:rPr>
          <w:rFonts w:cs="FrankRuehl" w:ascii="FrankRuehl" w:hAnsi="FrankRuehl"/>
          <w:sz w:val="26"/>
          <w:szCs w:val="26"/>
          <w:rtl w:val="true"/>
        </w:rPr>
        <w:t>(</w:t>
      </w:r>
      <w:r>
        <w:rPr>
          <w:rFonts w:cs="FrankRuehl" w:ascii="FrankRuehl" w:hAnsi="FrankRuehl"/>
          <w:sz w:val="26"/>
          <w:szCs w:val="26"/>
        </w:rPr>
        <w:t>11.6.2008</w:t>
      </w:r>
      <w:r>
        <w:rPr>
          <w:rFonts w:cs="FrankRuehl" w:ascii="FrankRuehl" w:hAnsi="FrankRuehl"/>
          <w:sz w:val="26"/>
          <w:szCs w:val="26"/>
          <w:rtl w:val="true"/>
        </w:rPr>
        <w:t>) [</w:t>
      </w:r>
      <w:r>
        <w:rPr>
          <w:rFonts w:cs="FrankRuehl" w:ascii="FrankRuehl" w:hAnsi="FrankRuehl"/>
          <w:sz w:val="26"/>
          <w:szCs w:val="26"/>
          <w:rtl w:val="true"/>
        </w:rPr>
        <w:t xml:space="preserve">;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עניין חמד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פסקה </w:t>
      </w:r>
      <w:r>
        <w:rPr>
          <w:rFonts w:cs="FrankRuehl" w:ascii="FrankRuehl" w:hAnsi="FrankRuehl"/>
          <w:sz w:val="26"/>
          <w:szCs w:val="26"/>
        </w:rPr>
        <w:t>5</w:t>
      </w:r>
      <w:r>
        <w:rPr>
          <w:rFonts w:cs="FrankRuehl" w:ascii="FrankRuehl" w:hAnsi="FrankRuehl"/>
          <w:sz w:val="26"/>
          <w:szCs w:val="26"/>
          <w:rtl w:val="true"/>
        </w:rPr>
        <w:t>;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</w:rPr>
          <w:t>6569/05</w:t>
        </w:r>
      </w:hyperlink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Miriam"/>
          <w:rtl w:val="true"/>
        </w:rPr>
        <w:t>אלעיש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</w:t>
      </w:r>
      <w:r>
        <w:rPr>
          <w:rFonts w:ascii="FrankRuehl" w:hAnsi="FrankRuehl" w:cs="Miriam"/>
          <w:rtl w:val="true"/>
        </w:rPr>
        <w:t>אל</w:t>
      </w:r>
      <w:r>
        <w:rPr>
          <w:rFonts w:cs="Miriam" w:ascii="FrankRuehl" w:hAnsi="FrankRuehl"/>
          <w:rtl w:val="true"/>
        </w:rPr>
        <w:t>,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פסקה יד </w:t>
      </w:r>
      <w:r>
        <w:rPr>
          <w:rFonts w:cs="FrankRuehl" w:ascii="FrankRuehl" w:hAnsi="FrankRuehl"/>
          <w:sz w:val="26"/>
          <w:szCs w:val="26"/>
          <w:rtl w:val="true"/>
        </w:rPr>
        <w:t>[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פורסם בנבו</w:t>
      </w:r>
      <w:r>
        <w:rPr>
          <w:rFonts w:cs="FrankRuehl" w:ascii="FrankRuehl" w:hAnsi="FrankRuehl"/>
          <w:sz w:val="26"/>
          <w:szCs w:val="26"/>
          <w:rtl w:val="true"/>
        </w:rPr>
        <w:t xml:space="preserve">] </w:t>
      </w:r>
      <w:r>
        <w:rPr>
          <w:rFonts w:cs="FrankRuehl" w:ascii="FrankRuehl" w:hAnsi="FrankRuehl"/>
          <w:sz w:val="26"/>
          <w:szCs w:val="26"/>
          <w:rtl w:val="true"/>
        </w:rPr>
        <w:t xml:space="preserve"> (</w:t>
      </w:r>
      <w:r>
        <w:rPr>
          <w:rFonts w:cs="FrankRuehl" w:ascii="FrankRuehl" w:hAnsi="FrankRuehl"/>
          <w:sz w:val="26"/>
          <w:szCs w:val="26"/>
        </w:rPr>
        <w:t>24.7.2006</w:t>
      </w:r>
      <w:r>
        <w:rPr>
          <w:rFonts w:cs="FrankRuehl" w:ascii="FrankRuehl" w:hAnsi="FrankRuehl"/>
          <w:sz w:val="26"/>
          <w:szCs w:val="26"/>
          <w:rtl w:val="true"/>
        </w:rPr>
        <w:t>)</w:t>
      </w:r>
      <w:r>
        <w:rPr>
          <w:rFonts w:cs="FrankRuehl" w:ascii="FrankRuehl" w:hAnsi="FrankRuehl"/>
          <w:sz w:val="26"/>
          <w:szCs w:val="26"/>
          <w:rtl w:val="true"/>
        </w:rPr>
        <w:t>[...]</w:t>
      </w:r>
    </w:p>
    <w:p>
      <w:pPr>
        <w:pStyle w:val="Normal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  <w:t>[...]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יש מקום ליתן משקל מתאים גם לפרק הזמן שבו נעברו העבירות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במהלכו הייתה האוכלוסיה האזרחית נתונה למתקפה של אלפי רקטות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כפי שמתואר בכתב האישום המתוקן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ובמקביל התעורר גל של הפרות סדר והתפרעויות אלימות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שכלל תקיפת כוחות הביטחון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כמו גם תקיפת אזרחים יהודים וערבים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גם בכך יש להקרין גם על אפיוני החומרה של ההתפרעות והעבירות האחרות שבוצעו ממניע של גזענות</w:t>
      </w:r>
      <w:r>
        <w:rPr>
          <w:rFonts w:cs="FrankRuehl" w:ascii="FrankRuehl" w:hAnsi="FrankRuehl"/>
          <w:sz w:val="26"/>
          <w:szCs w:val="26"/>
          <w:rtl w:val="true"/>
        </w:rPr>
        <w:t>.</w:t>
      </w:r>
      <w:r>
        <w:rPr>
          <w:rFonts w:cs="FrankRuehl" w:ascii="FrankRuehl" w:hAnsi="FrankRuehl"/>
          <w:sz w:val="26"/>
          <w:szCs w:val="26"/>
          <w:rtl w:val="true"/>
        </w:rPr>
        <w:t>"</w:t>
      </w:r>
    </w:p>
    <w:p>
      <w:pPr>
        <w:pStyle w:val="Normal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בחינת הפסיקה הנוהגת מעלה כי מדיניות הענישה בעבירה של התפרעות והיזק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שנעברו בעת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כוללת עונשי מאסר ממושכים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אסווד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לעיל – המשיב לקח חלק בשני אירועי התפרעות במהלך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מבצע שומר חומות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בעיר עכו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אירוע ראשון בבית מלון שהוצת וכתוצאה מכך נגרם מותו של אדם וכן נזק רב לרכוש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יובהר כי למשיב לא יוחסה עבירת ההצתה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באירוע השני השתתף המשיב בהתפרעות בזמן שאחרים באותה התפרעות יידו אבנים לעבר 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גזר את דינו לשניים עשר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העמיד את העונש על עשרים ושניים 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26952-04-22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אנטקלי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09.05.2022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השתתף בהתפרעויות אלימות בעיר עכו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מבצע שומר חומות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במסגרתן זרק אבנים לעבר 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השלום דן את המשיב לשמונה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 על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המחוזי העמיד את עונשו על ארבעה עשר 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26998-04-22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היג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09.05.2022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השתתף בהתפרעות אלימה ביישוב תמרה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מבצע שומר חומות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כאשר הוא רעול פנים ובין היתר יידה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ניידת 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כשנעצר על ידי השוטרים ניסה לתקוף אותם ואיים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העמיד את עונשו של המשיב על שישה עשר 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למידת הפגיעה בערכים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למדיניות הענישה הנוהגת כאמור ולנסיבות הקשורות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מצאתי לקבוע את מתחם העונש ההולם בעבירות האישום הראשון כנע בין </w:t>
      </w:r>
      <w:r>
        <w:rPr>
          <w:rFonts w:ascii="Arial" w:hAnsi="Arial" w:cs="Arial"/>
          <w:b/>
          <w:b/>
          <w:bCs/>
          <w:rtl w:val="true"/>
        </w:rPr>
        <w:t>עשרה לבין עשרים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מצאתי עילה לסטייה ממתחם העונש ההולם לקולה או לחומרה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האישום השני 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ascii="Arial" w:hAnsi="Arial" w:cs="Arial"/>
          <w:u w:val="single"/>
          <w:rtl w:val="true"/>
        </w:rPr>
        <w:t>עבירות בנשק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ביסודן של עבירות הנשק עומד ערך חיי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הביטחון האישי ושלמות הגוף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העובדה שהנאשם נשא עליו את הנשק ואף ירה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שבשטחים בהם נוכחות אחרים אינה צפויה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כי הפגיעה בערכים המוגנים היא ברף הבינוני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בעיקר על רקע פוטנציאל הפגיעה באחרים מצד הנשק הנישא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והשימוש שנעשה בו 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 נקיטת אמצעי זהירות וללא הדרכה בבטיחות הפעלת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התייחס רבות לחומרתן של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לכך שהפכו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ולצורך להחמיר עד מאוד בענישה בעניינן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cs="Arial" w:ascii="Arial" w:hAnsi="Arial"/>
          <w:rtl w:val="true"/>
        </w:rPr>
        <w:t xml:space="preserve">, 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נכנס לתוקף בדצמבר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 חל במקרה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ראו למשל פסק דינו של כבוד השופט מינץ מהעת האחרונה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5813/21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בארין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31.05.2022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  <w:t>"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אם קיימת התערבות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היא בדרך כלל נעשית על מנת להחמיר בעונשם של עברייני נשק ולא להקל עמם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לאחרונה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נאמרו על ידִי הדברים הבאים במסגרת </w:t>
      </w:r>
      <w:hyperlink r:id="rId31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</w:rPr>
          <w:t>8320/21</w:t>
        </w:r>
      </w:hyperlink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בסילה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sz w:val="26"/>
          <w:szCs w:val="26"/>
          <w:rtl w:val="true"/>
        </w:rPr>
        <w:t>[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פורסם בנבו</w:t>
      </w:r>
      <w:r>
        <w:rPr>
          <w:rFonts w:cs="FrankRuehl" w:ascii="FrankRuehl" w:hAnsi="FrankRuehl"/>
          <w:sz w:val="26"/>
          <w:szCs w:val="26"/>
          <w:rtl w:val="true"/>
        </w:rPr>
        <w:t>] (</w:t>
      </w:r>
      <w:r>
        <w:rPr>
          <w:rFonts w:cs="FrankRuehl" w:ascii="FrankRuehl" w:hAnsi="FrankRuehl"/>
          <w:sz w:val="26"/>
          <w:szCs w:val="26"/>
        </w:rPr>
        <w:t>28.12.2021</w:t>
      </w:r>
      <w:r>
        <w:rPr>
          <w:rFonts w:cs="FrankRuehl" w:ascii="FrankRuehl" w:hAnsi="FrankRuehl"/>
          <w:sz w:val="26"/>
          <w:szCs w:val="26"/>
          <w:rtl w:val="true"/>
        </w:rPr>
        <w:t xml:space="preserve">):  </w:t>
      </w:r>
    </w:p>
    <w:p>
      <w:pPr>
        <w:pStyle w:val="Normal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start="1417" w:end="1417"/>
        <w:jc w:val="both"/>
        <w:rPr/>
      </w:pPr>
      <w:r>
        <w:rPr>
          <w:rFonts w:cs="FrankRuehl" w:ascii="FrankRuehl" w:hAnsi="FrankRuehl"/>
          <w:sz w:val="26"/>
          <w:szCs w:val="26"/>
          <w:rtl w:val="true"/>
        </w:rPr>
        <w:t xml:space="preserve">[...]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על הצורך בהחמרה בעבירות נשק עמדתי לאחרונה ממש בעניין אבו עראר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שם ציינתי את הדברים הבאים</w:t>
      </w:r>
      <w:r>
        <w:rPr>
          <w:rFonts w:cs="FrankRuehl" w:ascii="FrankRuehl" w:hAnsi="FrankRuehl"/>
          <w:sz w:val="26"/>
          <w:szCs w:val="26"/>
          <w:rtl w:val="true"/>
        </w:rPr>
        <w:t>:</w:t>
      </w:r>
    </w:p>
    <w:p>
      <w:pPr>
        <w:pStyle w:val="Normal"/>
        <w:ind w:start="1417" w:end="1417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start="1417" w:end="1417"/>
        <w:jc w:val="both"/>
        <w:rPr/>
      </w:pPr>
      <w:r>
        <w:rPr>
          <w:rFonts w:eastAsia="FrankRuehl" w:cs="FrankRuehl" w:ascii="FrankRuehl" w:hAnsi="FrankRuehl"/>
          <w:sz w:val="26"/>
          <w:szCs w:val="26"/>
          <w:rtl w:val="true"/>
        </w:rPr>
        <w:t xml:space="preserve"> </w:t>
      </w:r>
      <w:r>
        <w:rPr>
          <w:rFonts w:cs="FrankRuehl" w:ascii="FrankRuehl" w:hAnsi="FrankRuehl"/>
          <w:sz w:val="26"/>
          <w:szCs w:val="26"/>
          <w:rtl w:val="true"/>
        </w:rPr>
        <w:t>'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אין צורך להכביר במילים על אודות החומרה הנלווית לעבירות נשק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אין היום חולקין כי עבירות מסוג זה הפכו ל</w:t>
      </w:r>
      <w:r>
        <w:rPr>
          <w:rFonts w:cs="FrankRuehl" w:ascii="FrankRuehl" w:hAnsi="FrankRuehl"/>
          <w:sz w:val="26"/>
          <w:szCs w:val="26"/>
          <w:rtl w:val="true"/>
        </w:rPr>
        <w:t>'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מכת מדינה</w:t>
      </w:r>
      <w:r>
        <w:rPr>
          <w:rFonts w:cs="FrankRuehl" w:ascii="FrankRuehl" w:hAnsi="FrankRuehl"/>
          <w:sz w:val="26"/>
          <w:szCs w:val="26"/>
          <w:rtl w:val="true"/>
        </w:rPr>
        <w:t xml:space="preserve">'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של ממש </w:t>
      </w:r>
      <w:r>
        <w:rPr>
          <w:rFonts w:cs="FrankRuehl" w:ascii="FrankRuehl" w:hAnsi="FrankRuehl"/>
          <w:sz w:val="26"/>
          <w:szCs w:val="26"/>
          <w:rtl w:val="true"/>
        </w:rPr>
        <w:t>(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ראו לאחרונה</w:t>
      </w:r>
      <w:r>
        <w:rPr>
          <w:rFonts w:cs="FrankRuehl" w:ascii="FrankRuehl" w:hAnsi="FrankRuehl"/>
          <w:sz w:val="26"/>
          <w:szCs w:val="26"/>
          <w:rtl w:val="true"/>
        </w:rPr>
        <w:t xml:space="preserve">: </w:t>
      </w:r>
      <w:hyperlink r:id="rId32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</w:rPr>
          <w:t>7473/20</w:t>
        </w:r>
      </w:hyperlink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מחאמיד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פסקה </w:t>
      </w:r>
      <w:r>
        <w:rPr>
          <w:rFonts w:cs="FrankRuehl" w:ascii="FrankRuehl" w:hAnsi="FrankRuehl"/>
          <w:sz w:val="26"/>
          <w:szCs w:val="26"/>
        </w:rPr>
        <w:t>24</w:t>
      </w:r>
      <w:r>
        <w:rPr>
          <w:rFonts w:cs="FrankRuehl" w:ascii="FrankRuehl" w:hAnsi="FrankRuehl"/>
          <w:sz w:val="26"/>
          <w:szCs w:val="26"/>
          <w:rtl w:val="true"/>
        </w:rPr>
        <w:t xml:space="preserve"> [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פורסם בנבו</w:t>
      </w:r>
      <w:r>
        <w:rPr>
          <w:rFonts w:cs="FrankRuehl" w:ascii="FrankRuehl" w:hAnsi="FrankRuehl"/>
          <w:sz w:val="26"/>
          <w:szCs w:val="26"/>
          <w:rtl w:val="true"/>
        </w:rPr>
        <w:t>] (</w:t>
      </w:r>
      <w:r>
        <w:rPr>
          <w:rFonts w:cs="FrankRuehl" w:ascii="FrankRuehl" w:hAnsi="FrankRuehl"/>
          <w:sz w:val="26"/>
          <w:szCs w:val="26"/>
        </w:rPr>
        <w:t>29.6.2021</w:t>
      </w:r>
      <w:r>
        <w:rPr>
          <w:rFonts w:cs="FrankRuehl" w:ascii="FrankRuehl" w:hAnsi="FrankRuehl"/>
          <w:sz w:val="26"/>
          <w:szCs w:val="26"/>
          <w:rtl w:val="true"/>
        </w:rPr>
        <w:t xml:space="preserve">); </w:t>
      </w:r>
      <w:hyperlink r:id="rId33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</w:rPr>
          <w:t>5993/21</w:t>
        </w:r>
      </w:hyperlink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Miriam"/>
          <w:rtl w:val="true"/>
        </w:rPr>
        <w:t>סאלח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פסקה </w:t>
      </w:r>
      <w:r>
        <w:rPr>
          <w:rFonts w:cs="FrankRuehl" w:ascii="FrankRuehl" w:hAnsi="FrankRuehl"/>
          <w:sz w:val="26"/>
          <w:szCs w:val="26"/>
        </w:rPr>
        <w:t>8</w:t>
      </w:r>
      <w:r>
        <w:rPr>
          <w:rFonts w:cs="FrankRuehl" w:ascii="FrankRuehl" w:hAnsi="FrankRuehl"/>
          <w:sz w:val="26"/>
          <w:szCs w:val="26"/>
          <w:rtl w:val="true"/>
        </w:rPr>
        <w:t xml:space="preserve"> [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פורסם בנבו</w:t>
      </w:r>
      <w:r>
        <w:rPr>
          <w:rFonts w:cs="FrankRuehl" w:ascii="FrankRuehl" w:hAnsi="FrankRuehl"/>
          <w:sz w:val="26"/>
          <w:szCs w:val="26"/>
          <w:rtl w:val="true"/>
        </w:rPr>
        <w:t>] (</w:t>
      </w:r>
      <w:r>
        <w:rPr>
          <w:rFonts w:cs="FrankRuehl" w:ascii="FrankRuehl" w:hAnsi="FrankRuehl"/>
          <w:sz w:val="26"/>
          <w:szCs w:val="26"/>
        </w:rPr>
        <w:t>29.11.2021</w:t>
      </w:r>
      <w:r>
        <w:rPr>
          <w:rFonts w:cs="FrankRuehl" w:ascii="FrankRuehl" w:hAnsi="FrankRuehl"/>
          <w:sz w:val="26"/>
          <w:szCs w:val="26"/>
          <w:rtl w:val="true"/>
        </w:rPr>
        <w:t xml:space="preserve">); </w:t>
      </w:r>
      <w:hyperlink r:id="rId34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szCs w:val="26"/>
            <w:u w:val="single"/>
          </w:rPr>
          <w:t>8416/20</w:t>
        </w:r>
      </w:hyperlink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Miriam"/>
          <w:rtl w:val="true"/>
        </w:rPr>
        <w:t>עייאט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 </w:t>
      </w:r>
      <w:r>
        <w:rPr>
          <w:rFonts w:cs="FrankRuehl" w:ascii="FrankRuehl" w:hAnsi="FrankRuehl"/>
          <w:sz w:val="26"/>
          <w:szCs w:val="26"/>
          <w:rtl w:val="true"/>
        </w:rPr>
        <w:t>[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פורסם בנבו</w:t>
      </w:r>
      <w:r>
        <w:rPr>
          <w:rFonts w:cs="FrankRuehl" w:ascii="FrankRuehl" w:hAnsi="FrankRuehl"/>
          <w:sz w:val="26"/>
          <w:szCs w:val="26"/>
          <w:rtl w:val="true"/>
        </w:rPr>
        <w:t>] (</w:t>
      </w:r>
      <w:r>
        <w:rPr>
          <w:rFonts w:cs="FrankRuehl" w:ascii="FrankRuehl" w:hAnsi="FrankRuehl"/>
          <w:sz w:val="26"/>
          <w:szCs w:val="26"/>
        </w:rPr>
        <w:t>2.9.2021</w:t>
      </w:r>
      <w:r>
        <w:rPr>
          <w:rFonts w:cs="FrankRuehl" w:ascii="FrankRuehl" w:hAnsi="FrankRuehl"/>
          <w:sz w:val="26"/>
          <w:szCs w:val="26"/>
          <w:rtl w:val="true"/>
        </w:rPr>
        <w:t xml:space="preserve">)).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מכה זו מצריכה מענה הולם בדמות ענישה מחמירה של הטלת עונשי מאסר משמעותיים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מצויים אנו לעת הזאת במצב חירום של ממש בעניין עבירות נשק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ולא בכדי נתקבל עתה תיקון ל</w:t>
      </w:r>
      <w:hyperlink r:id="rId35">
        <w:r>
          <w:rPr>
            <w:rStyle w:val="Hyperlink"/>
            <w:rFonts w:ascii="FrankRuehl" w:hAnsi="FrankRuehl" w:cs="FrankRueh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 </w:t>
      </w:r>
      <w:r>
        <w:rPr>
          <w:rFonts w:cs="FrankRuehl" w:ascii="FrankRuehl" w:hAnsi="FrankRuehl"/>
          <w:sz w:val="26"/>
          <w:szCs w:val="26"/>
          <w:rtl w:val="true"/>
        </w:rPr>
        <w:t>(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חוק העונשין </w:t>
      </w:r>
      <w:r>
        <w:rPr>
          <w:rFonts w:cs="FrankRuehl" w:ascii="FrankRuehl" w:hAnsi="FrankRuehl"/>
          <w:sz w:val="26"/>
          <w:szCs w:val="26"/>
          <w:rtl w:val="true"/>
        </w:rPr>
        <w:t>(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תיקון מס</w:t>
      </w:r>
      <w:r>
        <w:rPr>
          <w:rFonts w:cs="FrankRuehl" w:ascii="FrankRuehl" w:hAnsi="FrankRuehl"/>
          <w:sz w:val="26"/>
          <w:szCs w:val="26"/>
          <w:rtl w:val="true"/>
        </w:rPr>
        <w:t xml:space="preserve">' </w:t>
      </w:r>
      <w:r>
        <w:rPr>
          <w:rFonts w:cs="FrankRuehl" w:ascii="FrankRuehl" w:hAnsi="FrankRuehl"/>
          <w:sz w:val="26"/>
          <w:szCs w:val="26"/>
        </w:rPr>
        <w:t>140</w:t>
      </w:r>
      <w:r>
        <w:rPr>
          <w:rFonts w:cs="FrankRuehl" w:ascii="FrankRuehl" w:hAnsi="FrankRuehl"/>
          <w:sz w:val="26"/>
          <w:szCs w:val="26"/>
          <w:rtl w:val="true"/>
        </w:rPr>
        <w:t xml:space="preserve"> –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הוראת שעה</w:t>
      </w:r>
      <w:r>
        <w:rPr>
          <w:rFonts w:cs="FrankRuehl" w:ascii="FrankRuehl" w:hAnsi="FrankRuehl"/>
          <w:sz w:val="26"/>
          <w:szCs w:val="26"/>
          <w:rtl w:val="true"/>
        </w:rPr>
        <w:t xml:space="preserve">),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התשפ</w:t>
      </w:r>
      <w:r>
        <w:rPr>
          <w:rFonts w:cs="FrankRuehl" w:ascii="FrankRuehl" w:hAnsi="FrankRuehl"/>
          <w:sz w:val="26"/>
          <w:szCs w:val="26"/>
          <w:rtl w:val="true"/>
        </w:rPr>
        <w:t>"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</w:t>
      </w:r>
      <w:r>
        <w:rPr>
          <w:rFonts w:cs="FrankRuehl" w:ascii="FrankRuehl" w:hAnsi="FrankRuehl"/>
          <w:sz w:val="26"/>
          <w:szCs w:val="26"/>
          <w:rtl w:val="true"/>
        </w:rPr>
        <w:t>-</w:t>
      </w:r>
      <w:r>
        <w:rPr>
          <w:rFonts w:cs="FrankRuehl" w:ascii="FrankRuehl" w:hAnsi="FrankRuehl"/>
          <w:sz w:val="26"/>
          <w:szCs w:val="26"/>
        </w:rPr>
        <w:t>2021</w:t>
      </w:r>
      <w:r>
        <w:rPr>
          <w:rFonts w:cs="FrankRuehl" w:ascii="FrankRuehl" w:hAnsi="FrankRuehl"/>
          <w:sz w:val="26"/>
          <w:szCs w:val="26"/>
          <w:rtl w:val="true"/>
        </w:rPr>
        <w:t xml:space="preserve">) –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שלא חל בענייננו – הקובע עונשי מינימום לעבירות נשק</w:t>
      </w:r>
      <w:r>
        <w:rPr>
          <w:rFonts w:cs="FrankRuehl" w:ascii="FrankRuehl" w:hAnsi="FrankRuehl"/>
          <w:sz w:val="26"/>
          <w:szCs w:val="26"/>
          <w:rtl w:val="true"/>
        </w:rPr>
        <w:t>' (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שם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פסקה </w:t>
      </w:r>
      <w:r>
        <w:rPr>
          <w:rFonts w:cs="FrankRuehl" w:ascii="FrankRuehl" w:hAnsi="FrankRuehl"/>
          <w:sz w:val="26"/>
          <w:szCs w:val="26"/>
        </w:rPr>
        <w:t>25</w:t>
      </w:r>
      <w:r>
        <w:rPr>
          <w:rFonts w:cs="FrankRuehl" w:ascii="FrankRuehl" w:hAnsi="FrankRuehl"/>
          <w:sz w:val="26"/>
          <w:szCs w:val="26"/>
          <w:rtl w:val="true"/>
        </w:rPr>
        <w:t>).</w:t>
      </w:r>
    </w:p>
    <w:p>
      <w:pPr>
        <w:pStyle w:val="Normal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ascii="FrankRuehl" w:hAnsi="FrankRuehl" w:cs="FrankRuehl"/>
          <w:sz w:val="26"/>
          <w:sz w:val="26"/>
          <w:szCs w:val="26"/>
          <w:rtl w:val="true"/>
        </w:rPr>
        <w:t>כפועל יוצא מכך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ועם העלאת רף הענישה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עולה גם מתחם עונש המאסר הנכון והראוי בעבירות מעין אלו</w:t>
      </w:r>
      <w:r>
        <w:rPr>
          <w:rFonts w:cs="FrankRuehl" w:ascii="FrankRuehl" w:hAnsi="FrankRuehl"/>
          <w:sz w:val="26"/>
          <w:szCs w:val="26"/>
          <w:rtl w:val="true"/>
        </w:rPr>
        <w:t>[...]"</w:t>
      </w:r>
    </w:p>
    <w:p>
      <w:pPr>
        <w:pStyle w:val="Normal"/>
        <w:ind w:start="850" w:end="85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בחינת הפסיקה בעבירות נשק מעלה כי הוטלו עונשים הכוללים רכיב של מאסר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יש התייחסות רבה להיות עבירות הנשק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לצורך בהרתעת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לעובדה שהמחוקק נתן דעתו לעניין עת קבע הוראת שעה שמטרתה החמרת הענישה וקביעת עונש מינימום לעבירות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בעניין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תיקון זה לא היה בתוקף במקרים שלהלן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לעיל – המערער יחד עם מערער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לשניהם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 על פי הודאתם בעבירת החזקת נשק על כך שבחיפוש שערכו שוטרים במכונית בה נסעו נתפס רובה ציד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דן אותם לשמונה עשר ולעשרים ואחד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 על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19.12.2021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 בכך שהוביל ונשא נשק וירה מנשק חם ירי באוויר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גזר את דינו לארבעה עשר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ערערה על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הדגיש את הצורך בהרתעה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לכך שערכאת הערעור אינה נוהגת למצות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העמיד את עונשו של המשיב על עשרים וחמישה 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1059/21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29.04.2021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 פי הודאתו על כך שהחזיק אקדח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יום אחד לאחר חילופי דברים עם אחר הוציא את האקדח וירה מספר יריות באוויר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הורשע בעבירות איומים והפרעה לשוטר במילוי תפקידו לפי סעיפים </w:t>
      </w:r>
      <w:hyperlink r:id="rId42">
        <w:r>
          <w:rPr>
            <w:rStyle w:val="Hyperlink"/>
            <w:rFonts w:cs="Arial" w:ascii="Arial" w:hAnsi="Arial"/>
          </w:rPr>
          <w:t>192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cs="Arial" w:ascii="Arial" w:hAnsi="Arial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גזר את עונשו לארבעים ושניים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 על גזר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נסיבות ביצוע העבירות נתתי דעתי לתכנון וליוזמה של הנאשם בהשגת הנשק והתחמושת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לפוטנציאל ההרסני שיש לנשק חם בהישג 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בקלות יכול לגרום לפגיעה חמורה בגוף ואף להביא ליידי קיפוח חיי אדם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לעובדה שהנאשם הסתובב עם הנשק בציבור – בכך העלה את פוטנציאל השימוש בנשק ועלול היה להוות השראה לאחרים להשיג 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לכך שירה במספר הזדמנויות בנשק כשלושים כדורים בשטח שומם מאדם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ציין כי החזיק את הנשק מטעמים ילדותיים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לעשות רושם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מדובר בנסיבה לחומרה אולם בסוג עבירה זה לא מצאתי שמדובר בנסיבה מקלה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מכיוון שעצם החזקת הנשק מקימה את הפוטנציאל הפוגעני של השימוש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יהא המניע להחזקה אשר יהא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למידת הפגיעה בערכים המוגנים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למדיניות הענישה הנוהגת כאמור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להגדרת עבירות הנשק כמכת מדינה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להוראת השעה שקבע המחוקק שמטרתה להחמיר בענישה ולנסיבות הקשורות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מצאתי לקבוע את מתחם העונש ההולם בעבירות האישום השני </w:t>
      </w:r>
      <w:r>
        <w:rPr>
          <w:rFonts w:ascii="Arial" w:hAnsi="Arial" w:cs="Arial"/>
          <w:b/>
          <w:b/>
          <w:bCs/>
          <w:rtl w:val="true"/>
        </w:rPr>
        <w:t>כנע בין שלושים לבין שישים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מצאתי עילה לסטייה ממתחם העונש ההולם לקולה או לחומרה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נסיבות שאינן קשורות בביצוע העבירות וגזירת העונש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לביצוע העביר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נתתי דעתי להודאתו של הנאשם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הסכמה עונשית מצד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והחיסכון בזמן שיפוטי ומשאבי מערכת אכיפת החוק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להיותו במעצר ממשי כחצי שנה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לגילו הצעיר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לעברו הנקי וכן להסגרת הנשק לידי החוקרים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ענין המאיין מסוכנות נוספת מאותו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בגזירת עונשו של הנאשם מצאתי כי יש צורך להעביר מסר של הרתעה לרבים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מביצוע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בעבירות נשק הצורך להרתיע נובע מפוטנציאל הנזק הטמון בהן ולאור התפשטות התופעה של החזקת נשק לא חוקי במדינה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הפגיעות בגוף ובנפש הנגרמות מאותם כלי נשק השכם והערב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יש ליתן את הדעת להוראת השעה שקבע המחוקק עם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וכדי לשלוח מסר מרתיע לאחרים השוקלים להחזיק נשק מטעמים של עשיית רושם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מכל טעם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שידעו שהם צפויים לענישה מחמירה בשל מעשה שכזה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בנסיבות שפורטו אני גוזר את עונשו של הנאשם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בגין עבירות האישום הראשון אני גוזר על הנאשם עשרה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אשר יהיו עונש מאסר בפועל מיום מעצרו </w:t>
      </w:r>
      <w:r>
        <w:rPr>
          <w:rFonts w:cs="Arial" w:ascii="Arial" w:hAnsi="Arial"/>
        </w:rPr>
        <w:t>16.01.2022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עבירות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בשים לב לצורכי הרתעת הרבים על פי </w:t>
      </w:r>
      <w:hyperlink r:id="rId4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ז</w:t>
        </w:r>
      </w:hyperlink>
      <w:r>
        <w:rPr>
          <w:rFonts w:ascii="Arial" w:hAnsi="Arial" w:cs="Arial"/>
          <w:rtl w:val="true"/>
        </w:rPr>
        <w:t xml:space="preserve"> ב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על הנאשם עונש שאינו בתחתית המתחם שיעמוד על שלושים וחמישה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 עונשים אלה יצטברו זה לזה מאחר שמדובר במעשים נפרדים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העולה מהאמור הוא שהנאשם ירצה עונש מאסר בפועל סה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של ארבעים וחמישה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חודשים מיום מעצרו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16.01.2022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start="108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עונש זה 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שנים עשר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אותם לא ירצה אלא אם בתוך שלוש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שנים מיום שחרורו ממאסר יעבור עבירות בנשק לפי </w:t>
      </w:r>
      <w:hyperlink r:id="rId4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וכן שישה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אותם לא ירצה אלא אם בתוך שלוש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שנים מיום שחרורו ממאסר יעבור עבירת התפרעות לפי </w:t>
      </w:r>
      <w:hyperlink r:id="rId4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העונשין או עבירת היזק בזדון לפי </w:t>
      </w:r>
      <w:hyperlink r:id="rId5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העונשין או עבירת ירי מנשק חם לפי </w:t>
      </w:r>
      <w:hyperlink r:id="rId5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.</w:t>
        </w:r>
      </w:hyperlink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לקשיים הכלכליים עליהם הוצבע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תקופת המאסר הממושכת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להימנע מהוספת רכיב עונשי של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הצדדים קיבלו עותקי גזר הדין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כחוק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סיוון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רונית גרניק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סופר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bookmarkEnd w:id="10"/>
      <w:r>
        <w:rPr>
          <w:rFonts w:ascii="Arial" w:hAnsi="Arial" w:cs="Arial"/>
          <w:b/>
          <w:b/>
          <w:bCs/>
          <w:rtl w:val="true"/>
        </w:rPr>
        <w:t>הנאשם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מחמוד שאמי והנאשם באמצעות הליווי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tl w:val="true"/>
        </w:rPr>
        <w:tab/>
        <w:tab/>
        <w:tab/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40056-02-22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ראמי סויטאת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lang w:bidi="he-IL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lang w:val="en-US"/>
      </w:rPr>
    </w:lvl>
    <w:lvl w:ilvl="2">
      <w:start w:val="1"/>
      <w:numFmt w:val="decimal"/>
      <w:lvlText w:val="%3)"/>
      <w:lvlJc w:val="start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bidi="he-IL"/>
    </w:rPr>
  </w:style>
  <w:style w:type="character" w:styleId="WW8Num1z1">
    <w:name w:val="WW8Num1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52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340a.a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law/70301/15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340a.a" TargetMode="External"/><Relationship Id="rId22" Type="http://schemas.openxmlformats.org/officeDocument/2006/relationships/hyperlink" Target="http://www.nevo.co.il/case/28296934" TargetMode="External"/><Relationship Id="rId23" Type="http://schemas.openxmlformats.org/officeDocument/2006/relationships/hyperlink" Target="http://www.nevo.co.il/case/377887" TargetMode="External"/><Relationship Id="rId24" Type="http://schemas.openxmlformats.org/officeDocument/2006/relationships/hyperlink" Target="http://www.nevo.co.il/case/5823680" TargetMode="External"/><Relationship Id="rId25" Type="http://schemas.openxmlformats.org/officeDocument/2006/relationships/hyperlink" Target="http://www.nevo.co.il/case/6169945" TargetMode="External"/><Relationship Id="rId26" Type="http://schemas.openxmlformats.org/officeDocument/2006/relationships/hyperlink" Target="http://www.nevo.co.il/case/6072632" TargetMode="External"/><Relationship Id="rId27" Type="http://schemas.openxmlformats.org/officeDocument/2006/relationships/hyperlink" Target="http://www.nevo.co.il/case/28533264" TargetMode="External"/><Relationship Id="rId28" Type="http://schemas.openxmlformats.org/officeDocument/2006/relationships/hyperlink" Target="http://www.nevo.co.il/case/28533308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7894608" TargetMode="External"/><Relationship Id="rId31" Type="http://schemas.openxmlformats.org/officeDocument/2006/relationships/hyperlink" Target="http://www.nevo.co.il/case/28152132" TargetMode="External"/><Relationship Id="rId32" Type="http://schemas.openxmlformats.org/officeDocument/2006/relationships/hyperlink" Target="http://www.nevo.co.il/case/27115374" TargetMode="External"/><Relationship Id="rId33" Type="http://schemas.openxmlformats.org/officeDocument/2006/relationships/hyperlink" Target="http://www.nevo.co.il/case/27907602" TargetMode="External"/><Relationship Id="rId34" Type="http://schemas.openxmlformats.org/officeDocument/2006/relationships/hyperlink" Target="http://www.nevo.co.il/case/27207408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7915710" TargetMode="External"/><Relationship Id="rId37" Type="http://schemas.openxmlformats.org/officeDocument/2006/relationships/hyperlink" Target="http://www.nevo.co.il/case/27404359" TargetMode="External"/><Relationship Id="rId38" Type="http://schemas.openxmlformats.org/officeDocument/2006/relationships/hyperlink" Target="http://www.nevo.co.il/law/70301/144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40a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92;275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g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44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52" TargetMode="External"/><Relationship Id="rId50" Type="http://schemas.openxmlformats.org/officeDocument/2006/relationships/hyperlink" Target="http://www.nevo.co.il/law/70301/452" TargetMode="External"/><Relationship Id="rId51" Type="http://schemas.openxmlformats.org/officeDocument/2006/relationships/hyperlink" Target="http://www.nevo.co.il/law/70301/340a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2023-05-08T09:43:00Z</dcterms:created>
  <dc:creator> </dc:creator>
  <dc:description/>
  <cp:keywords/>
  <dc:language>en-IL</dc:language>
  <cp:lastModifiedBy>h1</cp:lastModifiedBy>
  <dcterms:modified xsi:type="dcterms:W3CDTF">2023-05-08T09:43:00Z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ראמי סויטאת,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28296934;377887;5823680;6169945;6072632;28533264;28533308;27894608;28152132;27115374;27907602;27207408;27915710;27404359</vt:lpwstr>
  </property>
  <property fmtid="{D5CDD505-2E9C-101B-9397-08002B2CF9AE}" pid="9" name="CITY">
    <vt:lpwstr>חי'</vt:lpwstr>
  </property>
  <property fmtid="{D5CDD505-2E9C-101B-9397-08002B2CF9AE}" pid="10" name="DATE">
    <vt:lpwstr>20220623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70301/152:2;452:2;029;144.b:2;340a.a:2;144.a;192;275;040g;144;340a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40056</vt:lpwstr>
  </property>
  <property fmtid="{D5CDD505-2E9C-101B-9397-08002B2CF9AE}" pid="22" name="NEWPARTB">
    <vt:lpwstr>02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390020220623</vt:lpwstr>
  </property>
  <property fmtid="{D5CDD505-2E9C-101B-9397-08002B2CF9AE}" pid="34" name="TYPE_N_DATE">
    <vt:lpwstr>39020220623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