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705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David" w:hAnsi="David" w:cs="David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color w:val="000080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השופט אברהם רובין</w:t>
            </w:r>
          </w:p>
          <w:p>
            <w:pPr>
              <w:pStyle w:val="Header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8"/>
                <w:szCs w:val="28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8"/>
                <w:szCs w:val="28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40118-06-21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ראזם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2017" w:leader="none"/>
                <w:tab w:val="left" w:pos="2190" w:leader="none"/>
                <w:tab w:val="center" w:pos="3840" w:leader="none"/>
              </w:tabs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ab/>
              <w:tab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חרבי ראזם </w:t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rtl w:val="true"/>
              </w:rPr>
              <w:t>ז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. </w:t>
            </w:r>
            <w:r>
              <w:rPr>
                <w:rFonts w:cs="David" w:ascii="David" w:hAnsi="David"/>
                <w:b/>
                <w:bCs/>
              </w:rPr>
              <w:t>xxxxxxxxx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274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275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448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2016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6" w:name="PsakDin"/>
      <w:bookmarkEnd w:id="6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  <w:u w:val="single"/>
        </w:rPr>
      </w:pPr>
      <w:r>
        <w:rPr>
          <w:rFonts w:cs="David" w:ascii="David" w:hAnsi="David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העבירות בהן הורשע הנאשם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bookmarkStart w:id="9" w:name="ABSTRACT_START"/>
      <w:bookmarkEnd w:id="9"/>
      <w:r>
        <w:rPr>
          <w:rFonts w:ascii="David" w:hAnsi="David"/>
          <w:sz w:val="26"/>
          <w:sz w:val="26"/>
          <w:szCs w:val="26"/>
          <w:rtl w:val="true"/>
        </w:rPr>
        <w:t>הנאשם הורשע על יסוד הודאתו בכתב אישום מתוקן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במסגרת הסדר טיעון פתוח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בביצוע עבירות כדלהלן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/>
          <w:sz w:val="26"/>
          <w:sz w:val="26"/>
          <w:szCs w:val="26"/>
          <w:rtl w:val="true"/>
        </w:rPr>
        <w:t xml:space="preserve">שתי עבירות של התפרעות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עבירות לפי </w:t>
      </w:r>
      <w:hyperlink r:id="rId12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152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ז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1977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עבירה של ניסיון הצתה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עבירה לפי </w:t>
      </w:r>
      <w:hyperlink r:id="rId14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448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סיפא בצרוף </w:t>
      </w:r>
      <w:hyperlink r:id="rId15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25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 העונשין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עבירה של החזקת נשק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עבירה לפי </w:t>
      </w:r>
      <w:hyperlink r:id="rId16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רישא לחוק העונשין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עבירה של הפרעה לשוטר בנסיבות מחמירות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עבירה לפי </w:t>
      </w:r>
      <w:hyperlink r:id="rId17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275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</w:hyperlink>
      <w:r>
        <w:rPr>
          <w:rFonts w:ascii="David" w:hAnsi="David"/>
          <w:sz w:val="26"/>
          <w:sz w:val="26"/>
          <w:szCs w:val="26"/>
          <w:rtl w:val="true"/>
        </w:rPr>
        <w:t xml:space="preserve"> לחוק העונשין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ועבירה של ניסיון לתקיפת שוטר בנסיבות מחמירות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עבירה לפי </w:t>
      </w:r>
      <w:hyperlink r:id="rId18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274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cs="David" w:ascii="David" w:hAnsi="David"/>
            <w:sz w:val="26"/>
            <w:szCs w:val="26"/>
          </w:rPr>
          <w:t>1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+ </w:t>
      </w:r>
      <w:hyperlink r:id="rId19"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cs="David" w:ascii="David" w:hAnsi="David"/>
            <w:sz w:val="26"/>
            <w:szCs w:val="26"/>
          </w:rPr>
          <w:t>2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+ </w:t>
      </w:r>
      <w:hyperlink r:id="rId20"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cs="David" w:ascii="David" w:hAnsi="David"/>
            <w:sz w:val="26"/>
            <w:szCs w:val="26"/>
          </w:rPr>
          <w:t>3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sz w:val="26"/>
          <w:szCs w:val="26"/>
          <w:rtl w:val="true"/>
        </w:rPr>
        <w:t>-</w:t>
      </w:r>
      <w:hyperlink r:id="rId21">
        <w:r>
          <w:rPr>
            <w:rStyle w:val="Hyperlink"/>
            <w:rFonts w:cs="David" w:ascii="David" w:hAnsi="David"/>
            <w:sz w:val="26"/>
            <w:szCs w:val="26"/>
          </w:rPr>
          <w:t>25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 העונשין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כתב האישום מחזיק שני אישומים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על פי הנטען בחלק הכללי של כתב האישום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העבירות המיוחסות לנאשם בוצעו בשעה שהתחוללו בארץ בכלל ובירושלים בפרט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התפרעויות שכללו זריקות אבנים מתוך מניע גזעני לעבר אנשים וכלי רכב בעלי סממנים יהודיים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וכן התפרעויות ותקיפות על רקע לאומני נגד כוחות המשטרה והביטחון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באותה תקופה גם החל ירי רקטות מאסיבי לעבר ירושלים ולעבר אזור עוטף עזה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דבר שהוביל למבצע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שומר החומות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>על פי הנטען באישום הראשון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21.05.2021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בתום תפילות יום השישי  בהר הבית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התרחשה התפרעות ברחבת הר הבית או בסמוך לה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במהלך ההתפרעות מאות מתפרעים עטו רעלות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הניפו דגלי חמאס ודגלים של הרשות הפלסטינית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קראו קריאות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תכביר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והחלו ליידות אבנים ובקבוקי זכוכית לעבר כוחות הביטחון ששהו במקום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הצטרף למתפרעים ויידה לעבר כוחות הביטחון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ממרחק של </w:t>
      </w:r>
      <w:r>
        <w:rPr>
          <w:rFonts w:cs="David" w:ascii="David" w:hAnsi="David"/>
          <w:sz w:val="26"/>
          <w:szCs w:val="26"/>
        </w:rPr>
        <w:t>50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60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מטר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מספר אבנים בגודל של חצי כף יד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כמו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בשלב מסוים נטל הנאשם בקבוק תבערה שהיה במקום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הצית אותו ויידה אותו לעבר כוחות הביטחון ממרחק דומה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על פי הנטען באישום השני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15.05.2021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התרחשה התפרעות בשכונת בית חנינה בירושלים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במהלכה כ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50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מתפרעים רעולי פנים הציתו פחים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חסמו באמצעותם את הצירים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ויידו אבנים לעבר כוחות הביטחון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הצטרף למתפרעים ויידה אבנים על כוחות הביטחון ממרחק של </w:t>
      </w:r>
      <w:r>
        <w:rPr>
          <w:rFonts w:cs="David" w:ascii="David" w:hAnsi="David"/>
          <w:sz w:val="26"/>
          <w:szCs w:val="26"/>
        </w:rPr>
        <w:t>30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עד </w:t>
      </w:r>
      <w:r>
        <w:rPr>
          <w:rFonts w:cs="David" w:ascii="David" w:hAnsi="David"/>
          <w:sz w:val="26"/>
          <w:szCs w:val="26"/>
        </w:rPr>
        <w:t>50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מטר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כאמור לעיל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הנאשם הודה בעובדות כתב האישום המתוקן והורשע בעבירות שפורטו לעיל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בעניינו של הנאשם הוגש תסקיר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יצוין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כי התסקיר מתייחס לכתב האישום המקורי ולא לכתב האישום שתוקן במסגרת ההסדר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הנאשם יליד </w:t>
      </w:r>
      <w:r>
        <w:rPr>
          <w:rFonts w:cs="David" w:ascii="David" w:hAnsi="David"/>
          <w:sz w:val="26"/>
          <w:szCs w:val="26"/>
        </w:rPr>
        <w:t>18.05.2002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היה בן </w:t>
      </w:r>
      <w:r>
        <w:rPr>
          <w:rFonts w:cs="David" w:ascii="David" w:hAnsi="David"/>
          <w:sz w:val="26"/>
          <w:szCs w:val="26"/>
        </w:rPr>
        <w:t>19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בעת ביצוע העבירות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סיים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לימוד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עובר למעצרו הנאשם השתלב בעבודה כמטאטא רחובות במחלקת התברואה של עיריית ירושלים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זאת באמצעות קבלן משנה של העירייה</w:t>
      </w:r>
      <w:r>
        <w:rPr>
          <w:rFonts w:cs="David" w:ascii="David" w:hAnsi="David"/>
          <w:sz w:val="26"/>
          <w:szCs w:val="26"/>
          <w:rtl w:val="true"/>
        </w:rPr>
        <w:t xml:space="preserve">.  </w:t>
      </w:r>
      <w:r>
        <w:rPr>
          <w:rFonts w:ascii="David" w:hAnsi="David"/>
          <w:sz w:val="26"/>
          <w:sz w:val="26"/>
          <w:szCs w:val="26"/>
          <w:rtl w:val="true"/>
        </w:rPr>
        <w:t>משפחתו של הנאשם מנהלת אורח חיים נורמטיבי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לנאשם אין עבר פלילי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בשיחה עם שירות המבחן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טען הנאשם כי נגרר לביצוע העבירות מתוך הזדהות חברתית עם צעירים בחברת מגוריו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שירות המבחן מציין בתסקיר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כי הנאשם טשטש וצמצם את מעשיו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ושלל מניע אידיאולוגי למעשים או כוונה לפגיעה ממשית באדם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שירות המבחן התרשם כי הסביבה בה גדל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במזרח ירושלים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הותירה בו משקעים וכעסים שלפי הערכת שירות המבחן הביאה יחד עם אישיותו הבלתי בשלה של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והקושי שלו בדחיית סיפוקים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בוויסות כעסים ובריסון עצמי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לביצוע העבירות האמורות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שירות המבחן מעריך כי רמת הסיכון להישנות התנהגות פוגענית היא בינונית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בסיכום התסקיר לא בא שירות המבחן בהמלצה טיפולית בעניינו של הנאשם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שירות המבחן מציין שענישה בעלת מרכיב מציב גבול עשויה לצמצם את רמת הסיכון הנשקפת מהנאשם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ומצד שני סבור שירות המבחן כי מאסר ארוך עלול להעמיק את קשייו של הנאשם ולהביאו לאימוץ ערכים בלתי נורמטיביים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טענות המאשימה לעונש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בא כוח המאשימה טען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כי יש לקבוע מתחם נפרד לכל אחד מהאישומים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זאת על רקע הריחוק בזמן ובמקום בין שני האירועים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בטיעוניו הדגיש בא כוח המאשימה את הנסיבות הקשורות בביצוע העבירות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במיוחד את נסיבות ביצוע העבירה המתוארת באישום הראשון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בא כוח המאשימה הפנה לכך שהנאשם הורשע בעבירה של ניסיון הצתה לפי </w:t>
      </w:r>
      <w:hyperlink r:id="rId22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448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סיפא ל</w:t>
      </w:r>
      <w:hyperlink r:id="rId2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דהיינו בעבירה של ניסיון הצתה אשר בוצע במטרה לפגוע בבני אדם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 כוח המאשימה הוסיף והדגיש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כי ראוי להביא בחשבון לחומרה את העובדה שהעבירה נושא האישום הראשון בוצעה במתחם הר הבית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תוך שימוש בבקבוק תבערה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נזרק לעבר כוחות ביטחון בשעה שאלו ממלאים את תפקידם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בא כוח המאשימה טען כי בגין האירוע נושא האישום הראשון יש לקבוע מתחם ענישה של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עד 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וכי בגין האירוע נושא האישום השני יש לקבוע מתחם ענישה של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עד </w:t>
      </w:r>
      <w:r>
        <w:rPr>
          <w:rFonts w:cs="David" w:ascii="David" w:hAnsi="David"/>
          <w:sz w:val="26"/>
          <w:szCs w:val="26"/>
        </w:rPr>
        <w:t>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לנוכח הודאתו של הנאשם ועברו הנקי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טען בא כוח המאשימה כי יש למקם את עונשו של הנאשם בתחתית המתחמים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וכי בסיכום כולל יש לגזור על הנאשם עונש של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בצירוף מאסר על תנאי וקנס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טענות הנאשם לעונש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בא כוח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הדגיש בטיעוניו כי לא יוחסו לנאשם בכתב האישום עבירות שהן בבחינת מעשה טרור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כהגדרתו של זה ב</w:t>
      </w:r>
      <w:hyperlink r:id="rId24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המאבק בטרור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תשע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ו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2016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וכן לא יוחסה לו עבירה של חבלה בכוונה מחמירה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למרות שעבירה זו הוזכרה בטיעוני בא כוח המאשימה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כמו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הדגיש בא כוח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כי הנאשם לא הורשע בעבירה מושלמת של הצתה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אלא בניסיון הצתה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 כוח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טען שמדובר בבקבוק תבערה שנזרק ממרחק רב על כוחות הביטחון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ללא תכנון מראש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 כוח הנאשם טען כי יש לקבוע מתחם אחד לשני האירועים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שכן מדובר באירועים הדומים זה לזה באופיים ובמהותם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בוצעו שניהם במזרח ירושלים בהפרש של שבוע בלבד זה מזה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 כוח הנאשם טען כי הפסיקה שהציג בא כוח המאשימה איננה תואמת בנסיבותיה את העבירות שביצע הנאשם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בא כוח הנאשם טען כי יש להעמיד את מתחם העונש ההולם על 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עד </w:t>
      </w:r>
      <w:r>
        <w:rPr>
          <w:rFonts w:cs="David" w:ascii="David" w:hAnsi="David"/>
          <w:sz w:val="26"/>
          <w:szCs w:val="26"/>
        </w:rPr>
        <w:t>25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וכי לנוכח הודאתו של הנאשם ועברו הנקי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יש לגזור על הנאשם עונש שלא יעלה על </w:t>
      </w:r>
      <w:r>
        <w:rPr>
          <w:rFonts w:cs="David" w:ascii="David" w:hAnsi="David"/>
          <w:sz w:val="26"/>
          <w:szCs w:val="26"/>
        </w:rPr>
        <w:t>15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בתום הדיון מסר הנאשם שהוא מצטער על מעשיו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מתחם העונש ההולם 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-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אירוע אחד או שני אירועים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>?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השאלה האם יש לסווג את שני האירועים כאירוע אחד לצורך קביעת מתחם העונש ההולם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תוכרע על יסוד מבחן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הקשר ההדוק</w:t>
      </w:r>
      <w:r>
        <w:rPr>
          <w:rFonts w:cs="David" w:ascii="David" w:hAnsi="David"/>
          <w:sz w:val="26"/>
          <w:szCs w:val="26"/>
          <w:rtl w:val="true"/>
        </w:rPr>
        <w:t xml:space="preserve">", </w:t>
      </w:r>
      <w:r>
        <w:rPr>
          <w:rFonts w:ascii="David" w:hAnsi="David"/>
          <w:sz w:val="26"/>
          <w:sz w:val="26"/>
          <w:szCs w:val="26"/>
          <w:rtl w:val="true"/>
        </w:rPr>
        <w:t>במסגרתו בוחן בית המשפט האם העבירות בוצעו בסמיכות זמנים זו לזו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כחלק מתכנית עבריינית אחת </w:t>
      </w:r>
      <w:r>
        <w:rPr>
          <w:rFonts w:cs="David" w:ascii="David" w:hAnsi="David"/>
          <w:sz w:val="26"/>
          <w:szCs w:val="26"/>
          <w:rtl w:val="true"/>
        </w:rPr>
        <w:t>(</w:t>
      </w:r>
      <w:hyperlink r:id="rId25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4910/13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אבר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29.10.14</w:t>
      </w:r>
      <w:r>
        <w:rPr>
          <w:rFonts w:cs="David" w:ascii="David" w:hAnsi="David"/>
          <w:sz w:val="26"/>
          <w:szCs w:val="26"/>
          <w:rtl w:val="true"/>
        </w:rPr>
        <w:t xml:space="preserve">)). </w:t>
      </w:r>
      <w:r>
        <w:rPr>
          <w:rFonts w:ascii="David" w:hAnsi="David"/>
          <w:sz w:val="26"/>
          <w:sz w:val="26"/>
          <w:szCs w:val="26"/>
          <w:rtl w:val="true"/>
        </w:rPr>
        <w:t>ויודגש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על פי הפסיקה המונח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אירוע אחד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רחב דיו כדי לכלול גם פעולות עברייניות שבוצעו על פני רצף זמן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ואשר כללו מעשים שונים כלפי קורבנות שונים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במקומות שונים </w:t>
      </w:r>
      <w:r>
        <w:rPr>
          <w:rFonts w:cs="David" w:ascii="David" w:hAnsi="David"/>
          <w:sz w:val="26"/>
          <w:szCs w:val="26"/>
          <w:rtl w:val="true"/>
        </w:rPr>
        <w:t>(</w:t>
      </w:r>
      <w:hyperlink r:id="rId2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2519/14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אבו קיעאן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29.12.14</w:t>
      </w:r>
      <w:r>
        <w:rPr>
          <w:rFonts w:cs="David" w:ascii="David" w:hAnsi="David"/>
          <w:sz w:val="26"/>
          <w:szCs w:val="26"/>
          <w:rtl w:val="true"/>
        </w:rPr>
        <w:t>)).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במקרה שלפניי מדובר בשתי עבירות דומות באופיין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ניתן לומר עליהן שהן חלק מתכנית עבריינית אחת של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שתכליתה לפגוע בכוחות הביטחון בתקופה הרגישה שבה התרחש מבצע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שומר החומות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/>
          <w:sz w:val="26"/>
          <w:sz w:val="26"/>
          <w:szCs w:val="26"/>
          <w:rtl w:val="true"/>
        </w:rPr>
        <w:t>שתי העבירות בוצעו בהפרש של שבוע בלבד אחת מהשנייה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שתי העבירות בוצעו בזירות גאוגרפיות לא זהות אך קרובות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/>
          <w:sz w:val="26"/>
          <w:sz w:val="26"/>
          <w:szCs w:val="26"/>
          <w:rtl w:val="true"/>
        </w:rPr>
        <w:t>במזרח ירושלים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אשר על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אני סבור כי יש לראות בשני האישומים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אירוע אחד</w:t>
      </w:r>
      <w:r>
        <w:rPr>
          <w:rFonts w:cs="David" w:ascii="David" w:hAnsi="David"/>
          <w:sz w:val="26"/>
          <w:szCs w:val="26"/>
          <w:rtl w:val="true"/>
        </w:rPr>
        <w:t xml:space="preserve">", </w:t>
      </w:r>
      <w:r>
        <w:rPr>
          <w:rFonts w:ascii="David" w:hAnsi="David"/>
          <w:sz w:val="26"/>
          <w:sz w:val="26"/>
          <w:szCs w:val="26"/>
          <w:rtl w:val="true"/>
        </w:rPr>
        <w:t>ועל כן אקבע מתחם ענישה אחד לשני האישומים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מתחם העונש ההולם 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-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הערכים המוגנים ומידת הפגיעה בהם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העבירות שביצע הנאשם פוגעות בראש ובראשונה בערך המוגן של חיי אדם ושל שלמות גופו של האדם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דומה כי על חשיבותם העליונה של ערכים אלו אין צורך להכביר דברים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ואולם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בכך לא מתמצית הפגיעה שפגע הנאשם בערכים המוגנים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מעשיו של הנאשם כוונו לא כנגד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סתם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אדם אלא כנגד כוחות הביטחון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ולא בתקופת שגרה אלא בתקופה רגישה ונפיצה במיוחד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בה ידיהם של כוחות הביטחון היו עמוסות לעייפה במטלות ביטחוניות הקשורות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במישרין ובעקיפין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במבצע שומר החומות ובמהומות שקדמו לו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אשר על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מעשיו של הנאשם פגעו גם בערך הכללי של השלטת החוק והסדר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וגם בערך של השמירה על ביטחונם וחייהם של כוחות הביטחון בכלל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ובשעה שהם עוסקים בהשלטת החוק והסדר בפרט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המסר למי שמסכנים את כוחות הביטחון ומפריעים להם בתקופה כה רגישה חייב להיות חד וברור בדמות ענישה מחמירה שתרתיע מביצוע מעשים כאלו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עמד על כך בית המשפט העליון ב</w:t>
      </w:r>
      <w:hyperlink r:id="rId27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6216/19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דארי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24.5.20</w:t>
      </w:r>
      <w:r>
        <w:rPr>
          <w:rFonts w:cs="David" w:ascii="David" w:hAnsi="David"/>
          <w:sz w:val="26"/>
          <w:szCs w:val="26"/>
          <w:rtl w:val="true"/>
        </w:rPr>
        <w:t>):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1417" w:end="851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אין מקום אלא לגזור עונשים מוחשיים כדי להילחם נגד התופעה של הפרעה לאנשי משטרה ולאנשי הביטחון במילוי תפקידם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התופעה מסוכנת ועלולה להגיע לידי איבוד שליטה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חברה מתוקנת חייבת לשמור על הסדר ולהטיל עונשים ראויים על אלה שמטרתם לסכן את המרקם החברתי העדין</w:t>
      </w:r>
      <w:r>
        <w:rPr>
          <w:rFonts w:cs="David" w:ascii="David" w:hAnsi="David"/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start="1417" w:end="851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הנאשם ביצע את העבירות בשתי הזדמנויות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העבירה הראשונה בוצעה במתחם הר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/>
          <w:sz w:val="26"/>
          <w:sz w:val="26"/>
          <w:szCs w:val="26"/>
          <w:rtl w:val="true"/>
        </w:rPr>
        <w:t xml:space="preserve">הבית שהוא מתחם רגיש במיוחד </w:t>
      </w:r>
      <w:r>
        <w:rPr>
          <w:rFonts w:cs="David" w:ascii="David" w:hAnsi="David"/>
          <w:sz w:val="26"/>
          <w:szCs w:val="26"/>
          <w:rtl w:val="true"/>
        </w:rPr>
        <w:t>(</w:t>
      </w:r>
      <w:hyperlink r:id="rId28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5590/16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נתשה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17.1.18</w:t>
      </w:r>
      <w:r>
        <w:rPr>
          <w:rFonts w:cs="David" w:ascii="David" w:hAnsi="David"/>
          <w:sz w:val="26"/>
          <w:szCs w:val="26"/>
          <w:rtl w:val="true"/>
        </w:rPr>
        <w:t xml:space="preserve">)) </w:t>
      </w:r>
      <w:r>
        <w:rPr>
          <w:rFonts w:ascii="David" w:hAnsi="David"/>
          <w:sz w:val="26"/>
          <w:sz w:val="26"/>
          <w:szCs w:val="26"/>
          <w:rtl w:val="true"/>
        </w:rPr>
        <w:t xml:space="preserve">בפסקה </w:t>
      </w:r>
      <w:r>
        <w:rPr>
          <w:rFonts w:cs="David" w:ascii="David" w:hAnsi="David"/>
          <w:sz w:val="26"/>
          <w:szCs w:val="26"/>
        </w:rPr>
        <w:t>35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לפסק הדין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 xml:space="preserve">והיא בוצעה תוך שימוש בבקבוק תבערה שהוא בבחינת נשק חם 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אשר על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מידת הפגיעה בערכים המוגנים גבוהה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מתחם העונש ההולם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–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 הנסיבות הקשורות בביצוע העבירה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>כאמור לעיל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מדובר בעבירות ששתיהן כוונו נגד כוחות הביטחון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העבירות נושא האישום הראשון בוצעו במתחם הר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/>
          <w:sz w:val="26"/>
          <w:sz w:val="26"/>
          <w:szCs w:val="26"/>
          <w:rtl w:val="true"/>
        </w:rPr>
        <w:t>הבית שהוא מתחם רגיש ונפיץ במיוחד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העבירות בוצעו בתקופה רגישה במיוחד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בה נדרשו כוחות הביטחון להתמודד הן עם מבצע צבאי והן עם מהומות אלימות שפרצו ברחבי הארץ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נסיבות אלה יובאו בחשבון לחומרה בעת קביעת מתחם העונש ההולם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העבירות שביצע הנאשם אינן עבירות ספונטאניות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גם אם לא קדם לביצוע העבירות תכנון מקיף מראש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הרי שמדובר בנאשם שביצע את העבירות לאחר שהחליט לפגוע בכוחות הביטחון ולשבש את פעילותם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הנזק שהיה צפוי להיגרם מביצוע העבירות הוא נזק גוף חמור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חשוב להדגיש שפעולותיו ושל הנאשם כוונו כנגד כוחות הביטחון בשעה שאלו ביצעו את תפקידם בתקופה רגישה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על כן הנזק שהיה צפוי כתוצאה מביצוע העבירות הוא לא רק נזק גוף לאנשי כוחות הביטחון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אלא גם נזק למאמציהם של אלו להשליט חוק וסדר בתקופה הרגישה האמורה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יש לציין כי באירוע נושא האישום הראשון נזרקו האבנים ובקבוק התבערה לעבר אנשי כוחות הביטחון ממרחק לא קטן של </w:t>
      </w:r>
      <w:r>
        <w:rPr>
          <w:rFonts w:cs="David" w:ascii="David" w:hAnsi="David"/>
          <w:sz w:val="26"/>
          <w:szCs w:val="26"/>
        </w:rPr>
        <w:t>50-60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מטר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ואכן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הלכה למעשה אין טענה לפיה האבנים או בקבוק התבערה פגעו במי מאנשי כוחות הביטחון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יחד עם זאת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פעולותיו של הנאשם יחד עם הפעולות של האחרים שהשתתפו באותן התפרעויות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גזלו משאבים מכוחות הביטחון ובמובן זה נגרם נזק בפועל למאבקם של כוחות הביטחון להשליט חוק וסדר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בכתב האישום אין טענה לפיה העבירות בוצעו 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/>
          <w:sz w:val="26"/>
          <w:sz w:val="26"/>
          <w:szCs w:val="26"/>
          <w:rtl w:val="true"/>
        </w:rPr>
        <w:t>ידי הנאשם מתוך מניע גזעני או לאומני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יחד עם זאת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מסעיפי העבירה המיוחסים לנאשם עולה כי הוא התכוון במעשיו לפגוע בבני אדם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ולהפריע או להכשיל שוטרים בעת ביצוע תפקידם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הנאשם בגיר ולא נטענה כל טענה לפיה הוא לא הבין את הפסול שבמעשיו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מתחם העונש ההולם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–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 הענישה הנוהגת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 הפנה בטיעוניו למספר פסקי דין במסגרתם נגזרו עונשי מאסר משמעותיים על מי שיידו בקבוקי תבערה על כוחות הביטחון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29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2579/14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פרחאן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י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25.5.15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>נדון ערעור</w:t>
      </w: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של מערער אשר הורשע בביצוע עבירות של קשירת קשר לפשע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ייצור נשק וחבלה בכוונה מחמירה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ונגזר עליו בבית המשפט המחוזי עונש של </w:t>
      </w:r>
      <w:r>
        <w:rPr>
          <w:rFonts w:cs="David" w:ascii="David" w:hAnsi="David"/>
          <w:sz w:val="26"/>
          <w:szCs w:val="26"/>
        </w:rPr>
        <w:t>6.5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בית המשפט העליון דחה את ערעורו של המערער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תוך שציין כי אמנם ניתן למצוא בפסיקה מקרים בהם נקבעו מתחמי ענישה מקלים יותר לגבי מי שהורשעו בעבירות של יידוי בקבוקי תבערה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ברם מקרהו של המערער איננו מסתכם ביידוי בקבוקי תבערה בלבד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אלא בקשירת קשר יחד עם אחרים להוציא לפועל תכנית עבריינית כוללת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מורכבת ומסוכנת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ועל כן העונש שנגזר הולם בנסיבות העניין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יצוין שבאותו מקרה בקבוק התבערה פגע בשוטר והאפוד שעליו החל לבעור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עוד יצוין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כי מדובר במקרה בו הוכנו מראש ויודו שמונה בקבוקי תבערה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נסיבותיו של מקרה זה שונות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אם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מהותית לחומרה מנסיבות המקרה שלפניי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6216/19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דארי נ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24.5.20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>נדחה ערעור של מערער אשר הורשע בעבירות של התפרעות ושל ניסיון לתקיפת שוטר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ונגזר עליו עונש של </w:t>
      </w:r>
      <w:r>
        <w:rPr>
          <w:rFonts w:cs="David" w:ascii="David" w:hAnsi="David"/>
          <w:sz w:val="26"/>
          <w:szCs w:val="26"/>
        </w:rPr>
        <w:t>15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באותו מקרה היה מדובר במי שיידה מספר אבנים לעבר אנשי כוחות ביטחון ממרחק של </w:t>
      </w:r>
      <w:r>
        <w:rPr>
          <w:rFonts w:cs="David" w:ascii="David" w:hAnsi="David"/>
          <w:sz w:val="26"/>
          <w:szCs w:val="26"/>
        </w:rPr>
        <w:t>40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מטר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בשעה שאלו פעלו להשלטת הסדר בשכונת עיסאוויה בירושלים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31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9723/16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נאצר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26.10.17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>נדחה ערעור של מערער אשר הורשע בעבירות שבוצעו במסגרת הפרות סדר בשלוש הזדמנויות שונות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בין יתר העבירות בהן הורשע המערער נמנו עבירות של סיוע לייצור בקבוקי תבערה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ניסיון לתקיפת שוטר בנסיבות מחמירות והפרעה לשוטר בנסיבות מחמירות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בית המשפט המחוזי גזר על המערער עונש של </w:t>
      </w:r>
      <w:r>
        <w:rPr>
          <w:rFonts w:cs="David" w:ascii="David" w:hAnsi="David"/>
          <w:sz w:val="26"/>
          <w:szCs w:val="26"/>
        </w:rPr>
        <w:t>45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כאמור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ערעורו של המערער על חומרת העונש נדחה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תוך שבית המשפט העליון עמד על החומרה היתרה הנודעת ליידוי אבנים ובקבוקי תבערה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ולבסוף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 הפנה ל</w:t>
      </w:r>
      <w:hyperlink r:id="rId32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4770/18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הדרה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12.7.18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>במסגרתו נדחתה בקשת רשות ערעור על פסק דין של בית המשפט המחוזי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שדחה ערעור על גזר דין של בית משפט השלום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במסגרתו הורשע המבקש בעבירות של ניסיון תקיפת שוטר בנסיבות מחמירות והתפרעות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על המערער נגזר בבית משפט השלום עונש של 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כאמור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ערעור לבית המשפט המחוזי נדחה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ובקשת רשות הערעור שהוגשה לבית המשפט העליון נדחתה אף היא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יצוין כי במקרה זה היה מדובר בנאשם שהורשע לאחר ניהול משפט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הנאשם הפנה לגזרי דין מקלים יותר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3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25089-02-21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טאהא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13.9.21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 xml:space="preserve">נגזר עונש של </w:t>
      </w:r>
      <w:r>
        <w:rPr>
          <w:rFonts w:cs="David" w:ascii="David" w:hAnsi="David"/>
          <w:sz w:val="26"/>
          <w:szCs w:val="26"/>
        </w:rPr>
        <w:t>30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על נאשם שהורשע בעבירות של התפרעות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מעשה טרור של חבלה בכוונה מחמירה ופעולה בנשק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באותו מקרה היה מדובר בנאשם שבמסגרת התפרעות יידה בקבוק תבערה לעבר כוחות הביטחון ממרחק של </w:t>
      </w:r>
      <w:r>
        <w:rPr>
          <w:rFonts w:cs="David" w:ascii="David" w:hAnsi="David"/>
          <w:sz w:val="26"/>
          <w:szCs w:val="26"/>
        </w:rPr>
        <w:t>15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מטר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ובהזדמנות אחרת יידה לעבר כוחות הביטחון בקבוק תבערה ממרחק של 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מטר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34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66152-06-20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אבו סכראן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7.3.21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>נגזר על שני נאשמים שהורשעו בביצוע מעשה טרור של הצתה ובביצוע שתי עבירות של מעשה טרור של ניסיון להיזק בזדון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עונשים של </w:t>
      </w:r>
      <w:r>
        <w:rPr>
          <w:rFonts w:cs="David" w:ascii="David" w:hAnsi="David"/>
          <w:sz w:val="26"/>
          <w:szCs w:val="26"/>
        </w:rPr>
        <w:t>26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לאור כל האמור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אני סבור כי מתחם העונש ההולם בעניינו של הנאשם נע בין </w:t>
      </w:r>
      <w:r>
        <w:rPr>
          <w:rFonts w:cs="David" w:ascii="David" w:hAnsi="David"/>
          <w:sz w:val="26"/>
          <w:szCs w:val="26"/>
        </w:rPr>
        <w:t>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ל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40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בתוספת מאסר על תנאי וקנס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sz w:val="26"/>
          <w:szCs w:val="26"/>
        </w:rPr>
        <w:t>11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העונש המתאים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>הנאשם הודה במיוחס לו ובכך חסך מזמנה של המאשימה ומזמנו של בית המשפט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ההודאה באשמה מבטאת  גם קבלת אחריות מצדו של הנאשם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ואולם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יש להביא בחשבון לעניין זה את התרשמות שירות מבחן לפיה הנאשם 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טשטש וצמצם מעשיו</w:t>
      </w:r>
      <w:r>
        <w:rPr>
          <w:rFonts w:cs="David" w:ascii="David" w:hAnsi="David"/>
          <w:b/>
          <w:bCs/>
          <w:sz w:val="26"/>
          <w:szCs w:val="26"/>
          <w:rtl w:val="true"/>
        </w:rPr>
        <w:t>....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צמצם הבנתו לאפשרויות הפגיעה הנשקפות ממעשיו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ascii="David" w:hAnsi="David"/>
          <w:sz w:val="26"/>
          <w:sz w:val="26"/>
          <w:szCs w:val="26"/>
          <w:rtl w:val="true"/>
        </w:rPr>
        <w:t>עמ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לתסקיר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>הנאשם נעדר עבר פלילי קודם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עובר לביצוע העבירה ניהל הנאשם חיים נורמטיביים שכללו סיום של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לימוד ולאחר מכן השתלבות בעבודה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עובדות אלו יזקפו לזכותו של הנאשם בקביעת העונש המתאים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נסיבות חייו של הנאשם לא יכולות לשמש שיקול לקולא במקרה שלפניי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גדל במשפחה נורמטיבית שתוארה על ידו כמטיבה ומגובשת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הנאשם עצור עד לתום ההליכים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התרשמות שירות המבחן היא כי הנאשם נתון במצוקה על רקע מעצרו הראשון והממושך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עובדה זו תובא בחשבון לקולא לעת קביעת עונשו של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אם כי באופן מתון בלבד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זאת לנוכח המלצת שירות המבחן לפיה נדרשת בעניינו של הנאשם 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ענישה בעלת אלמנט מציב גבול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לנוכח כל האמור ימוקם העונש המתאים בשליש התחתון של מתחם העונש ההולם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לנוכח כל האמור אני גוזר על הנאשם את העונשים שלהלן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915" w:start="1635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בניכוי ימי מעצרו של הנאשם לפי רישומי שב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ס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915" w:start="1635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על תנאי אותם ירצה הנאשם בפועל אם בתוך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מיום שחרורו מהכלא הוא יבצע אחת מהעבירות בהן הוא הורשע לפניי או כל עבירה אחרת שהיא בגדר מעשה טרור כהגדרתו של זה ב</w:t>
      </w:r>
      <w:hyperlink r:id="rId35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המאבק בטרור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התשע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ו –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2016</w:t>
        </w:r>
      </w:hyperlink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915" w:start="1635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קנס בסכום של </w:t>
      </w:r>
      <w:r>
        <w:rPr>
          <w:rFonts w:cs="David" w:ascii="David" w:hAnsi="David"/>
          <w:sz w:val="26"/>
          <w:szCs w:val="26"/>
        </w:rPr>
        <w:t>15,000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/>
          <w:sz w:val="26"/>
          <w:sz w:val="26"/>
          <w:szCs w:val="26"/>
          <w:rtl w:val="true"/>
        </w:rPr>
        <w:t xml:space="preserve">או </w:t>
      </w:r>
      <w:r>
        <w:rPr>
          <w:rFonts w:cs="David" w:ascii="David" w:hAnsi="David"/>
          <w:sz w:val="26"/>
          <w:szCs w:val="26"/>
        </w:rPr>
        <w:t>30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ימי מאסר תמורתו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 xml:space="preserve">הודע לנאשם על זכותו לערער לבית המשפט העליון תוך </w:t>
      </w:r>
      <w:r>
        <w:rPr>
          <w:rFonts w:cs="David" w:ascii="David" w:hAnsi="David"/>
          <w:sz w:val="26"/>
          <w:szCs w:val="26"/>
        </w:rPr>
        <w:t>45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יום מהיום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cs="David" w:ascii="David" w:hAnsi="David"/>
          <w:sz w:val="26"/>
          <w:szCs w:val="26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bookmarkStart w:id="12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>שבט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05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ינואר </w:t>
      </w:r>
      <w:r>
        <w:rPr>
          <w:rFonts w:cs="David" w:ascii="David" w:hAnsi="David"/>
          <w:sz w:val="26"/>
          <w:szCs w:val="26"/>
        </w:rPr>
        <w:t>2022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בנוכחות הצדדים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bookmarkEnd w:id="12"/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בית המשפט המחוזי בירושלים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40118-06-21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חרבי ראזם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635" w:hanging="915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52" TargetMode="External"/><Relationship Id="rId6" Type="http://schemas.openxmlformats.org/officeDocument/2006/relationships/hyperlink" Target="http://www.nevo.co.il/law/70301/274.1" TargetMode="External"/><Relationship Id="rId7" Type="http://schemas.openxmlformats.org/officeDocument/2006/relationships/hyperlink" Target="http://www.nevo.co.il/law/70301/274.2" TargetMode="External"/><Relationship Id="rId8" Type="http://schemas.openxmlformats.org/officeDocument/2006/relationships/hyperlink" Target="http://www.nevo.co.il/law/70301/274.3" TargetMode="External"/><Relationship Id="rId9" Type="http://schemas.openxmlformats.org/officeDocument/2006/relationships/hyperlink" Target="http://www.nevo.co.il/law/70301/275a" TargetMode="External"/><Relationship Id="rId10" Type="http://schemas.openxmlformats.org/officeDocument/2006/relationships/hyperlink" Target="http://www.nevo.co.il/law/70301/448.a" TargetMode="External"/><Relationship Id="rId11" Type="http://schemas.openxmlformats.org/officeDocument/2006/relationships/hyperlink" Target="http://www.nevo.co.il/law/141771" TargetMode="External"/><Relationship Id="rId12" Type="http://schemas.openxmlformats.org/officeDocument/2006/relationships/hyperlink" Target="http://www.nevo.co.il/law/70301/15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48.a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275a" TargetMode="External"/><Relationship Id="rId18" Type="http://schemas.openxmlformats.org/officeDocument/2006/relationships/hyperlink" Target="http://www.nevo.co.il/law/70301/274.1" TargetMode="External"/><Relationship Id="rId19" Type="http://schemas.openxmlformats.org/officeDocument/2006/relationships/hyperlink" Target="http://www.nevo.co.il/law/70301/274.2" TargetMode="External"/><Relationship Id="rId20" Type="http://schemas.openxmlformats.org/officeDocument/2006/relationships/hyperlink" Target="http://www.nevo.co.il/law/70301/274.3" TargetMode="External"/><Relationship Id="rId21" Type="http://schemas.openxmlformats.org/officeDocument/2006/relationships/hyperlink" Target="http://www.nevo.co.il/law/70301/25" TargetMode="External"/><Relationship Id="rId22" Type="http://schemas.openxmlformats.org/officeDocument/2006/relationships/hyperlink" Target="http://www.nevo.co.il/law/70301/448.a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141771" TargetMode="External"/><Relationship Id="rId25" Type="http://schemas.openxmlformats.org/officeDocument/2006/relationships/hyperlink" Target="http://www.nevo.co.il/case/13093721" TargetMode="External"/><Relationship Id="rId26" Type="http://schemas.openxmlformats.org/officeDocument/2006/relationships/hyperlink" Target="http://www.nevo.co.il/case/13101134" TargetMode="External"/><Relationship Id="rId27" Type="http://schemas.openxmlformats.org/officeDocument/2006/relationships/hyperlink" Target="http://www.nevo.co.il/case/26058630" TargetMode="External"/><Relationship Id="rId28" Type="http://schemas.openxmlformats.org/officeDocument/2006/relationships/hyperlink" Target="http://www.nevo.co.il/case/21476340" TargetMode="External"/><Relationship Id="rId29" Type="http://schemas.openxmlformats.org/officeDocument/2006/relationships/hyperlink" Target="http://www.nevo.co.il/case/13104258" TargetMode="External"/><Relationship Id="rId30" Type="http://schemas.openxmlformats.org/officeDocument/2006/relationships/hyperlink" Target="http://www.nevo.co.il/case/26058630" TargetMode="External"/><Relationship Id="rId31" Type="http://schemas.openxmlformats.org/officeDocument/2006/relationships/hyperlink" Target="http://www.nevo.co.il/case/21771420" TargetMode="External"/><Relationship Id="rId32" Type="http://schemas.openxmlformats.org/officeDocument/2006/relationships/hyperlink" Target="http://www.nevo.co.il/case/24323398" TargetMode="External"/><Relationship Id="rId33" Type="http://schemas.openxmlformats.org/officeDocument/2006/relationships/hyperlink" Target="http://www.nevo.co.il/case/27395790" TargetMode="External"/><Relationship Id="rId34" Type="http://schemas.openxmlformats.org/officeDocument/2006/relationships/hyperlink" Target="http://www.nevo.co.il/case/26795355" TargetMode="External"/><Relationship Id="rId35" Type="http://schemas.openxmlformats.org/officeDocument/2006/relationships/hyperlink" Target="http://www.nevo.co.il/law/141771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2023-05-08T09:14:00Z</dcterms:created>
  <dc:creator> </dc:creator>
  <dc:description/>
  <cp:keywords/>
  <dc:language>en-IL</dc:language>
  <cp:lastModifiedBy>h1</cp:lastModifiedBy>
  <dcterms:modified xsi:type="dcterms:W3CDTF">2023-05-08T09:14:00Z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חרבי ראזם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13093721;13101134;26058630:2;21476340;13104258;21771420;24323398;27395790;26795355</vt:lpwstr>
  </property>
  <property fmtid="{D5CDD505-2E9C-101B-9397-08002B2CF9AE}" pid="9" name="CITY">
    <vt:lpwstr>י-ם</vt:lpwstr>
  </property>
  <property fmtid="{D5CDD505-2E9C-101B-9397-08002B2CF9AE}" pid="10" name="DATE">
    <vt:lpwstr>20220105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רובין</vt:lpwstr>
  </property>
  <property fmtid="{D5CDD505-2E9C-101B-9397-08002B2CF9AE}" pid="14" name="LAWLISTTMP1">
    <vt:lpwstr>70301/152;448.a:2;025:2;144.a;275a;274.1;274.2;274.3</vt:lpwstr>
  </property>
  <property fmtid="{D5CDD505-2E9C-101B-9397-08002B2CF9AE}" pid="15" name="LAWLISTTMP2">
    <vt:lpwstr>141771:2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40118</vt:lpwstr>
  </property>
  <property fmtid="{D5CDD505-2E9C-101B-9397-08002B2CF9AE}" pid="23" name="NEWPARTB">
    <vt:lpwstr>06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390020220105</vt:lpwstr>
  </property>
  <property fmtid="{D5CDD505-2E9C-101B-9397-08002B2CF9AE}" pid="35" name="TYPE_N_DATE">
    <vt:lpwstr>39020220105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