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wTable"/>
      <w:bookmarkStart w:id="1" w:name="LastJudge"/>
      <w:bookmarkStart w:id="2" w:name="LawTable"/>
      <w:bookmarkStart w:id="3" w:name="LastJudge"/>
      <w:bookmarkEnd w:id="2"/>
      <w:bookmarkEnd w:id="3"/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</w:p>
    <w:p>
      <w:pPr>
        <w:pStyle w:val="Header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Header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4" w:name="LawTable_End"/>
      <w:bookmarkStart w:id="5" w:name="LawTable_End"/>
      <w:bookmarkEnd w:id="5"/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Header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536"/>
        <w:gridCol w:w="850"/>
        <w:gridCol w:w="2235"/>
      </w:tblGrid>
      <w:tr>
        <w:trPr>
          <w:trHeight w:val="414" w:hRule="atLeast"/>
        </w:trPr>
        <w:tc>
          <w:tcPr>
            <w:tcW w:w="544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המשפט המחוזי בתל אביב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יפו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 </w:t>
            </w:r>
            <w:r>
              <w:rPr>
                <w:rFonts w:cs="Arial" w:ascii="Arial" w:hAnsi="Arial"/>
                <w:b/>
                <w:bCs/>
                <w:sz w:val="24"/>
              </w:rPr>
              <w:t>40202/99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5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כבוד השופטת רנה משל 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שהם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15/7/1999</w:t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1362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bookmarkStart w:id="6" w:name="FirstLawyer"/>
            <w:bookmarkStart w:id="7" w:name="FirstAppellant"/>
            <w:bookmarkEnd w:id="6"/>
            <w:bookmarkEnd w:id="7"/>
            <w:r>
              <w:rPr>
                <w:rFonts w:ascii="Arial" w:hAnsi="Arial" w:cs="Arial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פרוסט</w:t>
            </w:r>
          </w:p>
        </w:tc>
        <w:tc>
          <w:tcPr>
            <w:tcW w:w="1757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5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1362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פטריק בן מוריס אלקריאף</w:t>
            </w:r>
          </w:p>
        </w:tc>
        <w:tc>
          <w:tcPr>
            <w:tcW w:w="1362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 ב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נהרי</w:t>
            </w:r>
          </w:p>
        </w:tc>
        <w:tc>
          <w:tcPr>
            <w:tcW w:w="1757" w:type="dxa"/>
            <w:tcBorders/>
          </w:tcPr>
          <w:p>
            <w:pPr>
              <w:pStyle w:val="Style15"/>
              <w:ind w:end="0"/>
              <w:jc w:val="both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כ </w:t>
            </w:r>
          </w:p>
        </w:tc>
        <w:tc>
          <w:tcPr>
            <w:tcW w:w="1362" w:type="dxa"/>
            <w:tcBorders/>
          </w:tcPr>
          <w:p>
            <w:pPr>
              <w:pStyle w:val="Style15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תמצית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עובדות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נפסק</w:t>
      </w:r>
      <w:r>
        <w:rPr>
          <w:b/>
          <w:bCs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סע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>).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הוחלט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8" w:name="LastJudge"/>
      <w:bookmarkStart w:id="9" w:name="LastJudge"/>
      <w:bookmarkEnd w:id="9"/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0" w:name="PsakDin"/>
      <w:bookmarkEnd w:id="10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11.7.99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: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כגנוב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start="3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b/>
          <w:b/>
          <w:bCs/>
          <w:u w:val="single"/>
          <w:rtl w:val="true"/>
        </w:rPr>
        <w:t>העובדות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19.5.99</w:t>
      </w:r>
      <w:r>
        <w:rPr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C.Z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71799</w:t>
      </w:r>
      <w:r>
        <w:rPr>
          <w:rtl w:val="true"/>
        </w:rPr>
        <w:t xml:space="preserve"> (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באור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18.10.95</w:t>
      </w:r>
      <w:r>
        <w:rPr>
          <w:rtl w:val="true"/>
        </w:rPr>
        <w:t xml:space="preserve">);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;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tl w:val="true"/>
        </w:rPr>
        <w:t xml:space="preserve">,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ופתיל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tl w:val="true"/>
        </w:rPr>
        <w:t>/</w:t>
      </w:r>
      <w:r>
        <w:rPr>
          <w:rtl w:val="true"/>
        </w:rPr>
        <w:t>השהייה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ניילון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b/>
          <w:b/>
          <w:bCs/>
          <w:u w:val="single"/>
          <w:rtl w:val="true"/>
        </w:rPr>
        <w:t>הסדר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הטיעון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19.5.99</w:t>
      </w:r>
      <w:r>
        <w:rPr>
          <w:rtl w:val="true"/>
        </w:rPr>
        <w:t xml:space="preserve">),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ind w:hanging="360" w:start="1440" w:end="0"/>
        <w:jc w:val="both"/>
        <w:rPr/>
      </w:pP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18.7.90</w:t>
      </w:r>
      <w:r>
        <w:rPr>
          <w:rtl w:val="true"/>
        </w:rPr>
        <w:t xml:space="preserve">)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ובניהן</w:t>
      </w:r>
      <w:r>
        <w:rPr>
          <w:rtl w:val="true"/>
        </w:rPr>
        <w:t xml:space="preserve">: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>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ind w:hanging="360" w:start="144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ind w:hanging="360" w:start="144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>).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ind w:hanging="36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לתינוקת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ind w:hanging="360" w:start="720" w:end="0"/>
        <w:jc w:val="both"/>
        <w:rPr/>
      </w:pPr>
      <w:r>
        <w:rPr>
          <w:b/>
          <w:b/>
          <w:bCs/>
          <w:u w:val="single"/>
          <w:rtl w:val="true"/>
        </w:rPr>
        <w:t>מסקנות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ותוצאה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ind w:hanging="360" w:start="1440"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השתכנעתי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בהשוואה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שלשמה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>" (</w:t>
      </w:r>
      <w:hyperlink r:id="rId1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4722/92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מז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45</w:t>
      </w:r>
      <w:r>
        <w:rPr>
          <w:rtl w:val="true"/>
        </w:rPr>
        <w:t xml:space="preserve">, </w:t>
      </w:r>
      <w:r>
        <w:rPr/>
        <w:t>51</w:t>
      </w:r>
      <w:r>
        <w:rPr>
          <w:rtl w:val="true"/>
        </w:rPr>
        <w:t>).</w:t>
      </w:r>
    </w:p>
    <w:p>
      <w:pPr>
        <w:pStyle w:val="Normal"/>
        <w:ind w:start="108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1"/>
        </w:numPr>
        <w:ind w:hanging="360" w:start="1440" w:end="0"/>
        <w:jc w:val="both"/>
        <w:rPr/>
      </w:pPr>
      <w:r>
        <w:rPr>
          <w:rtl w:val="true"/>
        </w:rPr>
        <w:t>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19.5.99</w:t>
      </w:r>
      <w:r>
        <w:rPr>
          <w:rtl w:val="true"/>
        </w:rPr>
        <w:t>.</w:t>
      </w:r>
    </w:p>
    <w:p>
      <w:pPr>
        <w:pStyle w:val="Normal"/>
        <w:ind w:start="1440" w:end="0"/>
        <w:jc w:val="both"/>
        <w:rPr/>
      </w:pPr>
      <w:r>
        <w:rPr>
          <w:rtl w:val="true"/>
        </w:rPr>
      </w:r>
    </w:p>
    <w:p>
      <w:pPr>
        <w:pStyle w:val="Normal"/>
        <w:ind w:start="1440" w:end="0"/>
        <w:jc w:val="both"/>
        <w:rPr/>
      </w:pP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כשהתנאי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- </w:t>
      </w:r>
      <w:r>
        <w:rPr/>
        <w:t>1973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numPr>
          <w:ilvl w:val="1"/>
          <w:numId w:val="1"/>
        </w:numPr>
        <w:ind w:hanging="360" w:start="144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רנה משל </w:t>
      </w:r>
      <w:r>
        <w:rPr>
          <w:rFonts w:cs="David" w:ascii="David" w:hAnsi="David"/>
          <w:color w:val="000000"/>
          <w:sz w:val="22"/>
          <w:szCs w:val="22"/>
          <w:rtl w:val="true"/>
        </w:rPr>
        <w:t>(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>שהם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) </w:t>
      </w:r>
      <w:r>
        <w:rPr>
          <w:rFonts w:cs="David" w:ascii="David" w:hAnsi="David"/>
          <w:color w:val="000000"/>
          <w:sz w:val="22"/>
          <w:szCs w:val="22"/>
        </w:rPr>
        <w:t>54678313-40202/99</w:t>
      </w:r>
    </w:p>
    <w:p>
      <w:pPr>
        <w:pStyle w:val="Normal"/>
        <w:ind w:end="0"/>
        <w:jc w:val="both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/>
        <w:t>15.7.99</w:t>
      </w:r>
      <w:r>
        <w:rPr>
          <w:rtl w:val="true"/>
        </w:rPr>
        <w:t xml:space="preserve">, </w:t>
      </w:r>
      <w:r>
        <w:rPr>
          <w:rtl w:val="true"/>
        </w:rPr>
        <w:t>והודע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/Users/liorb/Downloads/study2025-p2/m99040202-a.doc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40202/99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פטריק בן מוריס אלקריאף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  <w:lvl w:ilvl="1">
      <w:start w:val="1"/>
      <w:numFmt w:val="hebrew1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5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13" TargetMode="External"/><Relationship Id="rId6" Type="http://schemas.openxmlformats.org/officeDocument/2006/relationships/hyperlink" Target="http://www.nevo.co.il/law/4216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b" TargetMode="External"/><Relationship Id="rId10" Type="http://schemas.openxmlformats.org/officeDocument/2006/relationships/hyperlink" Target="http://www.nevo.co.il/law/70301/413" TargetMode="External"/><Relationship Id="rId11" Type="http://schemas.openxmlformats.org/officeDocument/2006/relationships/hyperlink" Target="http://www.nevo.co.il/law/70301/14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413" TargetMode="External"/><Relationship Id="rId15" Type="http://schemas.openxmlformats.org/officeDocument/2006/relationships/hyperlink" Target="http://www.nevo.co.il/case/17924199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2019-01-31T10:57:00Z</dcterms:created>
  <dc:creator> </dc:creator>
  <dc:description/>
  <cp:keywords/>
  <dc:language>en-IL</dc:language>
  <cp:lastModifiedBy>run</cp:lastModifiedBy>
  <dcterms:modified xsi:type="dcterms:W3CDTF">2019-01-31T10:57:00Z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ישראל;עו"ד פרוסט</vt:lpwstr>
  </property>
  <property fmtid="{D5CDD505-2E9C-101B-9397-08002B2CF9AE}" pid="3" name="APPELLEE">
    <vt:lpwstr>פטריק בן מוריס אלקריאף</vt:lpwstr>
  </property>
  <property fmtid="{D5CDD505-2E9C-101B-9397-08002B2CF9AE}" pid="4" name="CASESLISTTMP1">
    <vt:lpwstr>17924199</vt:lpwstr>
  </property>
  <property fmtid="{D5CDD505-2E9C-101B-9397-08002B2CF9AE}" pid="5" name="CITY">
    <vt:lpwstr>ת"א</vt:lpwstr>
  </property>
  <property fmtid="{D5CDD505-2E9C-101B-9397-08002B2CF9AE}" pid="6" name="DATE">
    <vt:lpwstr>19990715</vt:lpwstr>
  </property>
  <property fmtid="{D5CDD505-2E9C-101B-9397-08002B2CF9AE}" pid="7" name="JUDGE">
    <vt:lpwstr>רנה משל (שהם)</vt:lpwstr>
  </property>
  <property fmtid="{D5CDD505-2E9C-101B-9397-08002B2CF9AE}" pid="8" name="LAWLISTTMP1">
    <vt:lpwstr>70301/144.a:3;144.b:3;413:3</vt:lpwstr>
  </property>
  <property fmtid="{D5CDD505-2E9C-101B-9397-08002B2CF9AE}" pid="9" name="LAWLISTTMP2">
    <vt:lpwstr>4216:2</vt:lpwstr>
  </property>
  <property fmtid="{D5CDD505-2E9C-101B-9397-08002B2CF9AE}" pid="10" name="LAWYER">
    <vt:lpwstr>פרוסט;ב. נהרי</vt:lpwstr>
  </property>
  <property fmtid="{D5CDD505-2E9C-101B-9397-08002B2CF9AE}" pid="11" name="PROCESS">
    <vt:lpwstr>תפ</vt:lpwstr>
  </property>
  <property fmtid="{D5CDD505-2E9C-101B-9397-08002B2CF9AE}" pid="12" name="PROCNUM">
    <vt:lpwstr>40202</vt:lpwstr>
  </property>
  <property fmtid="{D5CDD505-2E9C-101B-9397-08002B2CF9AE}" pid="13" name="PROCYEAR">
    <vt:lpwstr>99</vt:lpwstr>
  </property>
  <property fmtid="{D5CDD505-2E9C-101B-9397-08002B2CF9AE}" pid="14" name="PSAKDIN">
    <vt:lpwstr>גזר-דין</vt:lpwstr>
  </property>
  <property fmtid="{D5CDD505-2E9C-101B-9397-08002B2CF9AE}" pid="15" name="RemarkFileName">
    <vt:lpwstr>mechozi m99040202 a htm</vt:lpwstr>
  </property>
  <property fmtid="{D5CDD505-2E9C-101B-9397-08002B2CF9AE}" pid="16" name="TYPE">
    <vt:lpwstr>2</vt:lpwstr>
  </property>
  <property fmtid="{D5CDD505-2E9C-101B-9397-08002B2CF9AE}" pid="17" name="TYPE_ABS_DATE">
    <vt:lpwstr>390019990715</vt:lpwstr>
  </property>
  <property fmtid="{D5CDD505-2E9C-101B-9397-08002B2CF9AE}" pid="18" name="TYPE_N_DATE">
    <vt:lpwstr>39019990715</vt:lpwstr>
  </property>
  <property fmtid="{D5CDD505-2E9C-101B-9397-08002B2CF9AE}" pid="19" name="WORDNUMPAGES">
    <vt:lpwstr>4</vt:lpwstr>
  </property>
</Properties>
</file>