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5"/>
        <w:gridCol w:w="3865"/>
        <w:gridCol w:w="398"/>
        <w:gridCol w:w="32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color w:val="000080"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4031-01-22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יחזקאל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 xml:space="preserve">)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625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השופטת הבכירה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גיליה רביד</w:t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6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3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6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62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start"/>
              <w:rPr/>
            </w:pPr>
            <w:bookmarkStart w:id="2" w:name="FirstLawyer"/>
            <w:bookmarkEnd w:id="2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426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רן יחזקאל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סננס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רונן ירמיהו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דרחי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דניאל ארונבייב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נעמה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אלחדד</w:t>
            </w:r>
          </w:p>
        </w:tc>
        <w:tc>
          <w:tcPr>
            <w:tcW w:w="33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Fonts w:ascii="David" w:hAnsi="David"/>
          <w:rtl w:val="true"/>
        </w:rPr>
        <w:t>הנ</w:t>
      </w:r>
      <w:r>
        <w:rPr>
          <w:rFonts w:ascii="David" w:hAnsi="David"/>
          <w:rtl w:val="true"/>
        </w:rPr>
        <w:t>אשמי</w:t>
      </w:r>
      <w:r>
        <w:rPr>
          <w:rFonts w:ascii="David" w:hAnsi="David"/>
          <w:rtl w:val="true"/>
        </w:rPr>
        <w:t xml:space="preserve">ם </w:t>
      </w:r>
      <w:r>
        <w:rPr>
          <w:rFonts w:ascii="David" w:hAnsi="David"/>
          <w:rtl w:val="true"/>
        </w:rPr>
        <w:t>הורשעו על פי הודאתם בעובדות כתב האישום המתוקן שהוגש במסגרת הסדר טיעון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נאשמים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בביצוע העבירות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החזקת נשק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)+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שיבוש מהלכי משפט לפי סעיף </w:t>
      </w:r>
      <w:hyperlink r:id="rId16">
        <w:r>
          <w:rPr>
            <w:rStyle w:val="Hyperlink"/>
            <w:rFonts w:cs="David" w:ascii="David" w:hAnsi="David"/>
          </w:rPr>
          <w:t>244</w:t>
        </w:r>
        <w:r>
          <w:rPr>
            <w:rStyle w:val="Hyperlink"/>
            <w:rFonts w:cs="David" w:ascii="David" w:hAnsi="David"/>
            <w:rtl w:val="true"/>
          </w:rPr>
          <w:t xml:space="preserve"> +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השמדת ראיה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242+29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ושינוי זהות של רכב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'+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rtl w:val="true"/>
        </w:rPr>
        <w:t>בביצוע העבירות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סיוע להחזקת נשק לפי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)+</w:t>
        </w:r>
        <w:r>
          <w:rPr>
            <w:rStyle w:val="Hyperlink"/>
            <w:rFonts w:cs="David" w:ascii="David" w:hAnsi="David"/>
          </w:rPr>
          <w:t>31+29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שיבוש מהלכי משפט לפי </w:t>
      </w:r>
      <w:hyperlink r:id="rId2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+</w:t>
      </w:r>
      <w:hyperlink r:id="rId22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השמדת ראיה לפי 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242+29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ושינוי זהות של רכב לפי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+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END"/>
      <w:bookmarkEnd w:id="9"/>
      <w:r>
        <w:rPr>
          <w:rFonts w:ascii="David" w:hAnsi="David"/>
          <w:rtl w:val="true"/>
        </w:rPr>
        <w:t>בהתאם לעובדות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במועד לא ידוע עובר ליום </w:t>
      </w:r>
      <w:r>
        <w:rPr>
          <w:rFonts w:cs="David" w:ascii="David" w:hAnsi="David"/>
        </w:rPr>
        <w:t>5.12.21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ובמהלך יום </w:t>
      </w:r>
      <w:r>
        <w:rPr>
          <w:rFonts w:cs="David" w:ascii="David" w:hAnsi="David"/>
        </w:rPr>
        <w:t>6.12.21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קשרו הנאשמים יחד עם אחרים קשר פלילי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הקשר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לפגוע באדם שזהותו איננה ידועה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היעד</w:t>
      </w:r>
      <w:r>
        <w:rPr>
          <w:rFonts w:cs="David" w:ascii="David" w:hAnsi="David"/>
          <w:rtl w:val="true"/>
        </w:rPr>
        <w:t xml:space="preserve">") . </w:t>
      </w:r>
      <w:r>
        <w:rPr>
          <w:rFonts w:ascii="David" w:hAnsi="David"/>
          <w:rtl w:val="true"/>
        </w:rPr>
        <w:t>לצורך ביצוע הקשר הוסכם כי חלק מהקושרים יעקבו ויתצפתו אחר היעד וידווחו לנאשמים לגבי מיקומו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כאשר הנאשמים ממתינים במקום אחר כשהם מצוידים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עם קבלת ההודעה לגבי מיקום היעד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יגיעו למקום המיועד ויפגעו ביעד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במסגרת הקשר הצטיידו הנאשמים במכשירי טלפון לא מזוהים וכן ברכב גנוב מסוג מאזדה שעליו הרכיבו לוחיות זיהוי גנובות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המאזדה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במסגרת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החזיקו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בסיועו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רשות כדין בשני אקדחים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שפרטיהם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>בתחמושת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6.12.21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17:10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הנאשמים לחניון ברח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הלוחמים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לשם הובילו את רכב המאזדה שנשא לוחיות זיהוי גנובות ובתוכו הניחו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קסדות ומיכל בנזין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האקדחים והתחמושת הוסתרו בין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שיחים בסמוך לרכב המאזדה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עצמם התמקמו ברכב טויוטה שחנה בקרבת מקום ובתוכו 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להקשות על זיהוים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בששה טלפונים מבצעיים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כרטיסי סים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פרטי לבוש חלופיים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כובעים ושלושה זוגות נעליים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שהייתם ברכב הטויוטה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עמדו </w:t>
      </w:r>
      <w:r>
        <w:rPr>
          <w:rFonts w:ascii="David" w:hAnsi="David"/>
          <w:rtl w:val="true"/>
        </w:rPr>
        <w:t xml:space="preserve">הנאשמים </w:t>
      </w:r>
      <w:r>
        <w:rPr>
          <w:rFonts w:ascii="David" w:hAnsi="David"/>
          <w:rtl w:val="true"/>
        </w:rPr>
        <w:t xml:space="preserve">בקשר עם המתצפתים </w:t>
      </w:r>
      <w:r>
        <w:rPr>
          <w:rFonts w:ascii="David" w:hAnsi="David"/>
          <w:rtl w:val="true"/>
        </w:rPr>
        <w:t xml:space="preserve">במטרה לקבל </w:t>
      </w:r>
      <w:r>
        <w:rPr>
          <w:rFonts w:ascii="David" w:hAnsi="David"/>
          <w:rtl w:val="true"/>
        </w:rPr>
        <w:t>דיווח לגבי מיקומו של היעד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20:12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למקום כוחות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</w:t>
      </w:r>
      <w:r>
        <w:rPr>
          <w:rFonts w:ascii="David" w:hAnsi="David"/>
          <w:rtl w:val="true"/>
        </w:rPr>
        <w:t xml:space="preserve"> לאחר קבלת דיווח על פעילות חשודה במקום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ואז הנאשמים מחקו את המסרונים </w:t>
      </w:r>
      <w:r>
        <w:rPr>
          <w:rFonts w:ascii="David" w:hAnsi="David"/>
          <w:rtl w:val="true"/>
        </w:rPr>
        <w:t>מתוך ה</w:t>
      </w:r>
      <w:r>
        <w:rPr>
          <w:rFonts w:ascii="David" w:hAnsi="David"/>
          <w:rtl w:val="true"/>
        </w:rPr>
        <w:t xml:space="preserve">טלפון המבצעי </w:t>
      </w:r>
      <w:r>
        <w:rPr>
          <w:rFonts w:ascii="David" w:hAnsi="David"/>
          <w:rtl w:val="true"/>
        </w:rPr>
        <w:t xml:space="preserve">אשר באמצעותו עמדו </w:t>
      </w:r>
      <w:r>
        <w:rPr>
          <w:rFonts w:ascii="David" w:hAnsi="David"/>
          <w:rtl w:val="true"/>
        </w:rPr>
        <w:t>בקשר עם המתצפתים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מהרכב והשליכו את הטלפון המחוק ואת מפתחות המאזדה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כדי למנוע או להכשיל הליך שיפוטי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להביא לעיוות דין בהעלמת ראיות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הצדדים הודו והורשעו במסגרת הסדר 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מסמך במ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שגובש לאחר </w:t>
      </w:r>
      <w:r>
        <w:rPr>
          <w:rFonts w:ascii="David" w:hAnsi="David"/>
          <w:rtl w:val="true"/>
        </w:rPr>
        <w:t>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ממושך</w:t>
      </w:r>
      <w:r>
        <w:rPr>
          <w:rFonts w:ascii="David" w:hAnsi="David"/>
          <w:rtl w:val="true"/>
        </w:rPr>
        <w:t xml:space="preserve"> ובסיועו של שופט מגשר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יעתרו במשותף להטיל על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מאסר בפועל של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כולל הפעלת מאסר מותנה בן ששה חודשים וכן מאסר מותנה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מאסר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ומאסר מותנה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למשך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ascii="David" w:hAnsi="David"/>
          <w:rtl w:val="true"/>
        </w:rPr>
        <w:t>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העונשים יחולו מיום מעצרם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דהיינו  </w:t>
      </w:r>
      <w:r>
        <w:rPr>
          <w:rFonts w:cs="David" w:ascii="David" w:hAnsi="David"/>
        </w:rPr>
        <w:t>6.12.21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הסכימו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רכב המאזדה יחולט ואילו רכב הטויוטה יוחזר לבעליו הרשום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 דניאל ימיני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המאשימה הוגשו תדפיסי רישום פלילי של שלושת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עותק מגזר דין 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7617-12-19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נגד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שבו הוטל עליו מאסר על תנאי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מתדפיסי הרישום הפלילי עולה 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צבר לחובתו הרשעות קודמות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תיקים שונים שבגינם הורשע ביצוע עבירות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סמים  ורכוש ואף ריצה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מספר עונשי מאסר בפועל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האחרון שבהם בשנת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tl w:val="true"/>
        </w:rPr>
        <w:t xml:space="preserve">, </w:t>
      </w:r>
      <w:r>
        <w:rPr>
          <w:rtl w:val="true"/>
        </w:rPr>
        <w:t>שכנגד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פרופורציוני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בהדגישם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שהנמקה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ותכליתית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 xml:space="preserve">,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לכבד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מגשר</w:t>
      </w:r>
      <w:r>
        <w:rPr>
          <w:rtl w:val="true"/>
        </w:rPr>
        <w:t xml:space="preserve">.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והנמקותיהם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והאיזונים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. </w:t>
      </w:r>
      <w:r>
        <w:rPr/>
        <w:t>3.5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6.12.21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7617-12-19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. 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244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242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6.12.21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244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242</w:t>
        </w:r>
        <w:r>
          <w:rPr>
            <w:rStyle w:val="Hyperlink"/>
            <w:rtl w:val="true"/>
          </w:rPr>
          <w:t xml:space="preserve"> 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6.12.21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244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242</w:t>
        </w:r>
        <w:r>
          <w:rPr>
            <w:rStyle w:val="Hyperlink"/>
            <w:rtl w:val="true"/>
          </w:rPr>
          <w:t xml:space="preserve"> 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22-486-30</w:t>
      </w:r>
      <w:r>
        <w:rPr>
          <w:rtl w:val="true"/>
        </w:rPr>
        <w:t>.</w:t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65-244-30</w:t>
      </w:r>
      <w:r>
        <w:rPr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>.</w:t>
      </w:r>
      <w:r>
        <w:rPr/>
        <w:t>xxxxxxxxx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186" w:type="dxa"/>
        <w:jc w:val="start"/>
        <w:tblInd w:w="-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</w:tblGrid>
      <w:tr>
        <w:trPr/>
        <w:tc>
          <w:tcPr>
            <w:tcW w:w="31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end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31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גיליה רביד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 בכירה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end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start="5652" w:end="0"/>
        <w:jc w:val="end"/>
        <w:rPr/>
      </w:pPr>
      <w:r>
        <w:rPr>
          <w:rtl w:val="true"/>
        </w:rPr>
      </w:r>
    </w:p>
    <w:p>
      <w:pPr>
        <w:pStyle w:val="Normal"/>
        <w:ind w:start="5652" w:end="0"/>
        <w:jc w:val="end"/>
        <w:rPr/>
      </w:pPr>
      <w:r>
        <w:rPr>
          <w:rtl w:val="true"/>
        </w:rPr>
      </w:r>
    </w:p>
    <w:p>
      <w:pPr>
        <w:pStyle w:val="Header"/>
        <w:ind w:start="5652"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גיליה רביד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4031-01-22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רן יחזקאל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24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413.i." TargetMode="External"/><Relationship Id="rId10" Type="http://schemas.openxmlformats.org/officeDocument/2006/relationships/hyperlink" Target="http://www.nevo.co.il/law/70301/413i" TargetMode="External"/><Relationship Id="rId11" Type="http://schemas.openxmlformats.org/officeDocument/2006/relationships/hyperlink" Target="http://www.nevo.co.il/law/70301/499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.;29" TargetMode="External"/><Relationship Id="rId16" Type="http://schemas.openxmlformats.org/officeDocument/2006/relationships/hyperlink" Target="http://www.nevo.co.il/law/70301/244;29" TargetMode="External"/><Relationship Id="rId17" Type="http://schemas.openxmlformats.org/officeDocument/2006/relationships/hyperlink" Target="http://www.nevo.co.il/law/70301/29;242" TargetMode="External"/><Relationship Id="rId18" Type="http://schemas.openxmlformats.org/officeDocument/2006/relationships/hyperlink" Target="http://www.nevo.co.il/law/70301/413i;29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/144.a.;29;31" TargetMode="External"/><Relationship Id="rId21" Type="http://schemas.openxmlformats.org/officeDocument/2006/relationships/hyperlink" Target="http://www.nevo.co.il/law/70301/244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29;242" TargetMode="External"/><Relationship Id="rId24" Type="http://schemas.openxmlformats.org/officeDocument/2006/relationships/hyperlink" Target="http://www.nevo.co.il/law/70301/413.i.;29" TargetMode="External"/><Relationship Id="rId25" Type="http://schemas.openxmlformats.org/officeDocument/2006/relationships/hyperlink" Target="http://www.nevo.co.il/case/26239774" TargetMode="External"/><Relationship Id="rId26" Type="http://schemas.openxmlformats.org/officeDocument/2006/relationships/hyperlink" Target="http://www.nevo.co.il/case/26239774" TargetMode="External"/><Relationship Id="rId27" Type="http://schemas.openxmlformats.org/officeDocument/2006/relationships/hyperlink" Target="http://www.nevo.co.il/law/70301/144;499;244;242;413.i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;499;244;242;413.i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;499;244;242;413.i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2024-05-05T08:32:00Z</dcterms:created>
  <dc:creator> </dc:creator>
  <dc:description/>
  <cp:keywords/>
  <dc:language>en-IL</dc:language>
  <cp:lastModifiedBy>h1</cp:lastModifiedBy>
  <dcterms:modified xsi:type="dcterms:W3CDTF">2024-05-05T08:32:00Z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רן יחזקאל;רונן ירמיהו;דניאל ארונבייב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26239774:2</vt:lpwstr>
  </property>
  <property fmtid="{D5CDD505-2E9C-101B-9397-08002B2CF9AE}" pid="9" name="CITY">
    <vt:lpwstr>ת"א</vt:lpwstr>
  </property>
  <property fmtid="{D5CDD505-2E9C-101B-9397-08002B2CF9AE}" pid="10" name="DATE">
    <vt:lpwstr>20230129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גיליה רביד</vt:lpwstr>
  </property>
  <property fmtid="{D5CDD505-2E9C-101B-9397-08002B2CF9AE}" pid="14" name="LAWLISTTMP1">
    <vt:lpwstr>70301/499.a.1:2;144.a:2;029:8;244:5;242:5;413i;031;413.i:4;144:3;499:3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4031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390020230129</vt:lpwstr>
  </property>
  <property fmtid="{D5CDD505-2E9C-101B-9397-08002B2CF9AE}" pid="34" name="TYPE_N_DATE">
    <vt:lpwstr>39020230129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