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40450-09-15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עכאוי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tbl>
      <w:tblPr>
        <w:bidiVisual w:val="true"/>
        <w:tblW w:w="892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52"/>
        <w:gridCol w:w="2537"/>
        <w:gridCol w:w="5531"/>
        <w:gridCol w:w="108"/>
      </w:tblGrid>
      <w:tr>
        <w:trPr/>
        <w:tc>
          <w:tcPr>
            <w:tcW w:w="75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בפני </w:t>
            </w:r>
          </w:p>
        </w:tc>
        <w:tc>
          <w:tcPr>
            <w:tcW w:w="8176" w:type="dxa"/>
            <w:gridSpan w:val="3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highlight w:val="yellow"/>
              </w:rPr>
            </w:pPr>
            <w:r>
              <w:rPr>
                <w:rFonts w:cs="FrankRuehl" w:ascii="Arial" w:hAnsi="Arial"/>
                <w:b/>
                <w:bCs/>
                <w:highlight w:val="yellow"/>
                <w:rtl w:val="true"/>
              </w:rPr>
            </w:r>
          </w:p>
        </w:tc>
      </w:tr>
      <w:tr>
        <w:trPr/>
        <w:tc>
          <w:tcPr>
            <w:tcW w:w="328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639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מאיה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חזן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דהן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מפרקליטות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פלילי</w:t>
            </w:r>
          </w:p>
        </w:tc>
      </w:tr>
      <w:tr>
        <w:trPr/>
        <w:tc>
          <w:tcPr>
            <w:tcW w:w="8928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8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563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עכאוי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xxxxxxxxxx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עומר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סנעאללה</w:t>
            </w:r>
            <w:r>
              <w:rPr>
                <w:b/>
                <w:bCs/>
                <w:rtl w:val="true"/>
              </w:rPr>
              <w:br/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rtl w:val="true"/>
              </w:rPr>
            </w:r>
            <w:bookmarkStart w:id="3" w:name="LawTable"/>
            <w:bookmarkStart w:id="4" w:name="PsakDin"/>
            <w:bookmarkStart w:id="5" w:name="LawTable"/>
            <w:bookmarkStart w:id="6" w:name="PsakDin"/>
            <w:bookmarkEnd w:id="5"/>
            <w:bookmarkEnd w:id="6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  <w:sz w:val="32"/>
                <w:szCs w:val="32"/>
              </w:rPr>
            </w:pPr>
            <w:r>
              <w:rPr>
                <w:rFonts w:cs="FrankRuehl" w:ascii="FrankRuehl" w:hAnsi="FrankRuehl"/>
                <w:sz w:val="32"/>
                <w:szCs w:val="32"/>
                <w:rtl w:val="true"/>
              </w:rPr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א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4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.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ב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5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192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, </w:t>
            </w:r>
            <w:hyperlink r:id="rId6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338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 (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3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)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7" w:name="LawTable_End"/>
            <w:bookmarkStart w:id="8" w:name="LawTable_End"/>
            <w:bookmarkEnd w:id="8"/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  <w:tc>
          <w:tcPr>
            <w:tcW w:w="108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FrankRuehl"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. </w:t>
        <w:tab/>
      </w:r>
      <w:bookmarkStart w:id="9" w:name="ABSTRACT_START"/>
      <w:bookmarkEnd w:id="9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23.12.15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שיוחסו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7"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 + 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סעיף</w:t>
      </w:r>
      <w:r>
        <w:rPr>
          <w:rFonts w:ascii="Calibri" w:hAnsi="Calibri" w:cs="Calibri"/>
          <w:rtl w:val="true"/>
        </w:rPr>
        <w:t xml:space="preserve"> </w:t>
      </w:r>
      <w:hyperlink r:id="rId9">
        <w:r>
          <w:rPr>
            <w:rStyle w:val="Hyperlink"/>
            <w:rFonts w:cs="Calibri" w:ascii="Calibri" w:hAnsi="Calibri"/>
            <w:color w:val="0000FF"/>
            <w:u w:val="single"/>
          </w:rPr>
          <w:t>338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cs="Calibri" w:ascii="Calibri" w:hAnsi="Calibri"/>
            <w:color w:val="0000FF"/>
            <w:u w:val="single"/>
          </w:rPr>
          <w:t>3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ואיומים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המתוקן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הנאשם</w:t>
      </w:r>
      <w:r>
        <w:rPr>
          <w:rFonts w:cs="Calibri" w:ascii="Calibri" w:hAnsi="Calibri"/>
          <w:u w:val="single"/>
          <w:rtl w:val="true"/>
        </w:rPr>
        <w:t xml:space="preserve">- </w:t>
      </w:r>
      <w:r>
        <w:rPr>
          <w:rFonts w:ascii="Calibri" w:hAnsi="Calibri" w:cs="Calibri"/>
          <w:u w:val="single"/>
          <w:rtl w:val="true"/>
        </w:rPr>
        <w:t>מוחמד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עכאוי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בן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עלי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לולאא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עכאוי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הרלוונטית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בסופרמרקט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דבאח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בדיר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המתלונן</w:t>
      </w:r>
      <w:r>
        <w:rPr>
          <w:rFonts w:cs="Calibri" w:ascii="Calibri" w:hAnsi="Calibri"/>
          <w:u w:val="single"/>
          <w:rtl w:val="true"/>
        </w:rPr>
        <w:t xml:space="preserve">- </w:t>
      </w:r>
      <w:r>
        <w:rPr>
          <w:rFonts w:ascii="Calibri" w:hAnsi="Calibri" w:cs="Calibri"/>
          <w:u w:val="single"/>
          <w:rtl w:val="true"/>
        </w:rPr>
        <w:t>אחמד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דבאח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כמנהל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הסופרמרקט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12.9.15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וסיפרה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בעקבות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הצטייד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הסופרמרקט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לאחיו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u w:val="single"/>
          <w:rtl w:val="true"/>
        </w:rPr>
        <w:t>אחמד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עכאווי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להתלוות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נכנסו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לסופרמרקט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עובדי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הסופרמרקט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u w:val="single"/>
          <w:rtl w:val="true"/>
        </w:rPr>
        <w:t>חסן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עומר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וסאלח</w:t>
      </w:r>
      <w:r>
        <w:rPr>
          <w:rFonts w:ascii="Calibri" w:hAnsi="Calibri" w:cs="Calibri"/>
          <w:u w:val="single"/>
          <w:rtl w:val="true"/>
        </w:rPr>
        <w:t xml:space="preserve"> </w:t>
      </w:r>
      <w:r>
        <w:rPr>
          <w:rFonts w:ascii="Calibri" w:hAnsi="Calibri" w:cs="Calibri"/>
          <w:u w:val="single"/>
          <w:rtl w:val="true"/>
        </w:rPr>
        <w:t>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להדוף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צעקו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פיזי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לסלאח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להוציאו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מהסופרמרקט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והפילו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בעוצמה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הצליחו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הנוכחים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החוצה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לצעוק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לקלל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ולזרוק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ממדפי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הסופרמרקט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סאלח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איימו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סלאח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לרוץ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הסופרמרקט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בידו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נצרת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הסופרמרקט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התפוצץ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עז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הלקוחות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שנכחו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בבהלה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נמלטו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sz w:val="18"/>
          <w:szCs w:val="18"/>
        </w:rPr>
      </w:pPr>
      <w:r>
        <w:rPr>
          <w:rFonts w:cs="Calibri" w:ascii="Calibri" w:hAnsi="Calibri"/>
          <w:sz w:val="18"/>
          <w:szCs w:val="1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cs="Calibri" w:ascii="Calibri" w:hAnsi="Calibri"/>
          <w:b/>
          <w:bCs/>
          <w:sz w:val="18"/>
          <w:szCs w:val="1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המאשימה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sz w:val="18"/>
          <w:szCs w:val="18"/>
          <w:u w:val="single"/>
        </w:rPr>
      </w:pPr>
      <w:r>
        <w:rPr>
          <w:rFonts w:cs="Calibri" w:ascii="Calibri" w:hAnsi="Calibri"/>
          <w:b/>
          <w:bCs/>
          <w:sz w:val="18"/>
          <w:szCs w:val="1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.  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פגיעתם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ולמורא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במיוחד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התרחש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מוקדם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קדמו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טלפוניים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להתקרר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מצוייד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ברימון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הכניסה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לסופרמרקט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התנגדות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נמרצת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המתלוננים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לסופרמרקט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שנהדף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ממנו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לבהלה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וכללו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מוות</w:t>
      </w:r>
      <w:r>
        <w:rPr>
          <w:rFonts w:cs="Calibri" w:ascii="Calibri" w:hAnsi="Calibri"/>
          <w:rtl w:val="true"/>
        </w:rPr>
        <w:t xml:space="preserve">; </w:t>
      </w:r>
      <w:r>
        <w:rPr>
          <w:rFonts w:ascii="Calibri" w:hAnsi="Calibri" w:cs="Calibri"/>
          <w:rtl w:val="true"/>
        </w:rPr>
        <w:t>השילוב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לסכסוך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לפסיקה</w:t>
      </w:r>
      <w:r>
        <w:rPr>
          <w:rFonts w:cs="Calibri" w:ascii="Calibri" w:hAnsi="Calibri"/>
          <w:rtl w:val="true"/>
        </w:rPr>
        <w:t xml:space="preserve">- 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חסן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ואגבריה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1-4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צה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בצוותא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. 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19087-06-13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פואז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1-3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מסוכסך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איומים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מילוליים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פריצה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נוהלו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הוכחות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;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31218-10-14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אסדי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8-20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ונגזרו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הושלך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מרפסת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ידוע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השכיל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דרכיו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מנוס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מהטלת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מוחשית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נתון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12.9.15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לעונש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.  </w:t>
        <w:tab/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השלכת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לרכוש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לנפש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השמעת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ושחרור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סלאח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הותקף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מבחינת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הכוונה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והתוצאה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המחלקה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לזיהוי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פעולתו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אפשרות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הנגרמת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תלויה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למוקד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ההפעלה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וידוע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המושפע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איכותו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וכמותו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מושפעת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וכמותו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מחזיק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טיבו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ותכונותיו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והשליכו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להזיק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והסופר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אינדיבידואלית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בצעיר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לימוד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שהתחתן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ונולדו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בגילאים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מתגורר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בכרמיאל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שרכש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שהתיישנו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בחקירתו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במשטרה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לעריכת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מאמציו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לתיקון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עמדות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הצדדים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והעדויות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שהתקיים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ביום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cs="Calibri" w:ascii="Calibri" w:hAnsi="Calibri"/>
          <w:b/>
          <w:bCs/>
          <w:u w:val="single"/>
        </w:rPr>
        <w:t>6.1.16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עומר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מועצה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שותף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הסולחה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המצב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מעדותו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לסופרמרקט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והוסיף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שמבחינתם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רוצים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[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ד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פ</w:t>
      </w:r>
      <w:r>
        <w:rPr>
          <w:rFonts w:cs="Calibri" w:ascii="Calibri" w:hAnsi="Calibri"/>
          <w:rtl w:val="true"/>
        </w:rPr>
        <w:t xml:space="preserve">] </w:t>
      </w:r>
      <w:r>
        <w:rPr>
          <w:rFonts w:ascii="Calibri" w:hAnsi="Calibri" w:cs="Calibri"/>
          <w:rtl w:val="true"/>
        </w:rPr>
        <w:t>ייצא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מהמעצר</w:t>
      </w:r>
      <w:r>
        <w:rPr>
          <w:rFonts w:cs="Calibri" w:ascii="Calibri" w:hAnsi="Calibri"/>
          <w:rtl w:val="true"/>
        </w:rPr>
        <w:t xml:space="preserve">". </w:t>
      </w:r>
      <w:r>
        <w:rPr>
          <w:rFonts w:ascii="Calibri" w:hAnsi="Calibri" w:cs="Calibri"/>
          <w:rtl w:val="true"/>
        </w:rPr>
        <w:t>מעדות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יחיא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דבאח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הוסדרו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עבורם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מוחמד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חלק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בסולחה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שנערכה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המבוקש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קיומה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משליך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במדרג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בדיבורים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מתוכנן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טלפון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הנמוך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אופן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חדירת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לסופר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מלמדת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נחישות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גבוהה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הצליח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להיכנס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פעמיים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לחומרה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גדולה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התיישן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קטלני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ונזקק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לטיפול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זריקת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הוזכר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כחצי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לתפקד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תקלה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לטענתו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4945/13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ישראל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עבד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אלכרים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סלימאן</w:t>
      </w:r>
      <w:r>
        <w:rPr>
          <w:rFonts w:cs="Calibri" w:ascii="Calibri" w:hAnsi="Calibri"/>
          <w:b/>
          <w:bCs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רכישת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והחזקת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ותחמושת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פזיזות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ורשלנות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והסתייעות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ארבעה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במעצר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בתקופת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מסמכים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המלמדים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נכות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מסייע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לפרנסת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יציבות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תעסוקתית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הזדמנות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ולאורח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ascii="Calibri" w:hAnsi="Calibri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והכרעה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ובטחונו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הציבורי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האינטרס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בפתרון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סכסוכים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מתייחסת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ככלי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שסכנתו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שבכוחו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לגרום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לפציעתו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7386/13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עווד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</w:t>
      </w:r>
      <w:r>
        <w:rPr>
          <w:rFonts w:cs="Calibri" w:ascii="Calibri" w:hAnsi="Calibri"/>
          <w:b/>
          <w:bCs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23.3.13</w:t>
      </w:r>
      <w:r>
        <w:rPr>
          <w:rFonts w:cs="Calibri" w:ascii="Calibri" w:hAnsi="Calibri"/>
          <w:rtl w:val="true"/>
        </w:rPr>
        <w:t xml:space="preserve">)). </w:t>
      </w: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להיגרם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הקשורות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בביצוע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להעמיד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6-24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לזקוף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גילו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הסולחה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חייו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הנורמטיביות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לרבות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התלויים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כלכלית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מכביד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חסכון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וחרטתו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ועוד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אציין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מהעדויות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שפורטו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לחומרה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בחשבון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תכנון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נעשה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שימוש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ברימון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בסביבה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חפים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ולחדול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מביצועם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b/>
          <w:b/>
          <w:bCs/>
          <w:u w:val="single"/>
          <w:rtl w:val="true"/>
        </w:rPr>
        <w:t>לאור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האמור</w:t>
      </w:r>
      <w:r>
        <w:rPr>
          <w:rFonts w:cs="Calibri" w:ascii="Calibri" w:hAnsi="Calibri"/>
          <w:b/>
          <w:bCs/>
          <w:u w:val="single"/>
          <w:rtl w:val="true"/>
        </w:rPr>
        <w:t>,</w:t>
      </w:r>
      <w:r>
        <w:rPr>
          <w:rFonts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אני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מטיל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על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את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העונשים</w:t>
      </w:r>
      <w:r>
        <w:rPr>
          <w:rFonts w:ascii="Calibri" w:hAnsi="Calibri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u w:val="single"/>
          <w:rtl w:val="true"/>
        </w:rPr>
        <w:t>הבאים</w:t>
      </w:r>
      <w:r>
        <w:rPr>
          <w:rFonts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בניכוי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ימי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מעצרו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12.9.15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.</w:t>
        <w:tab/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למשך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שנים מיום שחרורו </w:t>
      </w:r>
      <w:r>
        <w:rPr>
          <w:rFonts w:ascii="Calibri" w:hAnsi="Calibri" w:cs="Calibri"/>
          <w:rtl w:val="true"/>
        </w:rPr>
        <w:t>והתנאי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יעבור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פשע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ג</w:t>
      </w:r>
      <w:r>
        <w:rPr>
          <w:rFonts w:cs="Calibri" w:ascii="Calibri" w:hAnsi="Calibri"/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התבקשו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ייפסקו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cs="Arial" w:ascii="Arial" w:hAnsi="Arial"/>
                <w:color w:val="FFFFFF"/>
                <w:sz w:val="2"/>
                <w:szCs w:val="2"/>
              </w:rPr>
              <w:t>54678313</w:t>
            </w: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י</w:t>
            </w:r>
            <w:r>
              <w:rPr>
                <w:rFonts w:cs="Arial" w:ascii="Arial" w:hAnsi="Arial"/>
                <w:rtl w:val="true"/>
              </w:rPr>
              <w:t xml:space="preserve">' </w:t>
            </w:r>
            <w:r>
              <w:rPr>
                <w:rFonts w:ascii="Arial" w:hAnsi="Arial" w:cs="Arial"/>
                <w:rtl w:val="true"/>
              </w:rPr>
              <w:t>שבט תשע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ו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20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ינואר </w:t>
            </w:r>
            <w:r>
              <w:rPr>
                <w:rFonts w:cs="Arial" w:ascii="Arial" w:hAnsi="Arial"/>
              </w:rPr>
              <w:t>2016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בנוכחות הצדדים</w:t>
            </w:r>
            <w:r>
              <w:rPr>
                <w:rFonts w:cs="Arial" w:ascii="Arial" w:hAnsi="Arial"/>
                <w:rtl w:val="true"/>
              </w:rPr>
              <w:t xml:space="preserve">.     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40450-09-15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עכאוי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Times New Roman"/>
    </w:rPr>
  </w:style>
  <w:style w:type="character" w:styleId="CharChar1">
    <w:name w:val=" Char Char1"/>
    <w:qFormat/>
    <w:rPr>
      <w:rFonts w:cs="David"/>
      <w:sz w:val="24"/>
      <w:szCs w:val="24"/>
      <w:lang w:val="en-US" w:bidi="he-IL"/>
    </w:rPr>
  </w:style>
  <w:style w:type="character" w:styleId="CharChar">
    <w:name w:val=" Char Char"/>
    <w:qFormat/>
    <w:rPr>
      <w:rFonts w:cs="David"/>
      <w:sz w:val="24"/>
      <w:szCs w:val="24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.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38.3" TargetMode="External"/><Relationship Id="rId7" Type="http://schemas.openxmlformats.org/officeDocument/2006/relationships/hyperlink" Target="http://www.nevo.co.il/law/70301/144.a.;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338.3" TargetMode="External"/><Relationship Id="rId10" Type="http://schemas.openxmlformats.org/officeDocument/2006/relationships/hyperlink" Target="http://www.nevo.co.il/law/70301/192" TargetMode="External"/><Relationship Id="rId11" Type="http://schemas.openxmlformats.org/officeDocument/2006/relationships/hyperlink" Target="http://www.nevo.co.il/case/6473037" TargetMode="External"/><Relationship Id="rId12" Type="http://schemas.openxmlformats.org/officeDocument/2006/relationships/hyperlink" Target="http://www.nevo.co.il/case/7676477" TargetMode="External"/><Relationship Id="rId13" Type="http://schemas.openxmlformats.org/officeDocument/2006/relationships/hyperlink" Target="http://www.nevo.co.il/case/18105668" TargetMode="External"/><Relationship Id="rId14" Type="http://schemas.openxmlformats.org/officeDocument/2006/relationships/hyperlink" Target="http://www.nevo.co.il/case/7791493" TargetMode="External"/><Relationship Id="rId15" Type="http://schemas.openxmlformats.org/officeDocument/2006/relationships/hyperlink" Target="http://www.nevo.co.il/case/10443017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2016-02-21T11:59:00Z</dcterms:created>
  <dc:creator> </dc:creator>
  <dc:description/>
  <cp:keywords/>
  <dc:language>en-IL</dc:language>
  <cp:lastModifiedBy>hofit</cp:lastModifiedBy>
  <dcterms:modified xsi:type="dcterms:W3CDTF">2016-02-21T11:59:00Z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עכאוי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6473037;7676477;18105668;7791493;10443017</vt:lpwstr>
  </property>
  <property fmtid="{D5CDD505-2E9C-101B-9397-08002B2CF9AE}" pid="9" name="CITY">
    <vt:lpwstr>חי'</vt:lpwstr>
  </property>
  <property fmtid="{D5CDD505-2E9C-101B-9397-08002B2CF9AE}" pid="10" name="DATE">
    <vt:lpwstr>20160120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70301/144.a;144.b;338.3;192</vt:lpwstr>
  </property>
  <property fmtid="{D5CDD505-2E9C-101B-9397-08002B2CF9AE}" pid="15" name="LAWYER">
    <vt:lpwstr>מאיה חזן דהן ;עומר סנעאללה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40450</vt:lpwstr>
  </property>
  <property fmtid="{D5CDD505-2E9C-101B-9397-08002B2CF9AE}" pid="22" name="NEWPARTB">
    <vt:lpwstr>09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390020160120</vt:lpwstr>
  </property>
  <property fmtid="{D5CDD505-2E9C-101B-9397-08002B2CF9AE}" pid="34" name="TYPE_N_DATE">
    <vt:lpwstr>39020160120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