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4047-09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ירושלים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פאחורי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אילתה זיסקינד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ירושלים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 רחמן פאחורי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בא כוח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שחר מלול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 ובא וכוחו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מוחמד קעדן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LastJudge"/>
      <w:bookmarkStart w:id="4" w:name="PsakDin"/>
      <w:bookmarkEnd w:id="3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לאחר ניהול הוכחות</w:t>
      </w:r>
      <w:r>
        <w:rPr>
          <w:rtl w:val="true"/>
        </w:rPr>
        <w:t xml:space="preserve">, </w:t>
      </w:r>
      <w:r>
        <w:rPr>
          <w:rtl w:val="true"/>
        </w:rPr>
        <w:t>בעבירת איומים כלפי שוטרת</w:t>
      </w:r>
      <w:r>
        <w:rPr>
          <w:rtl w:val="true"/>
        </w:rPr>
        <w:t xml:space="preserve">, </w:t>
      </w:r>
      <w:r>
        <w:rPr>
          <w:rtl w:val="true"/>
        </w:rPr>
        <w:t>בכך שבעת שביקש להיכנס להר הבית</w:t>
      </w:r>
      <w:r>
        <w:rPr>
          <w:rtl w:val="true"/>
        </w:rPr>
        <w:t xml:space="preserve">, </w:t>
      </w:r>
      <w:r>
        <w:rPr>
          <w:rtl w:val="true"/>
        </w:rPr>
        <w:t xml:space="preserve">השוטרת אהובה קסלאסי אסרה עליו להיכנס לאור הגבלת גיל הכניסה לאנשים מעל גיל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 xml:space="preserve">כשהנאשם היה כבן </w:t>
      </w:r>
      <w:r>
        <w:rPr/>
        <w:t>30</w:t>
      </w:r>
      <w:r>
        <w:rPr>
          <w:rtl w:val="true"/>
        </w:rPr>
        <w:t xml:space="preserve">. </w:t>
      </w:r>
      <w:r>
        <w:rPr>
          <w:rtl w:val="true"/>
        </w:rPr>
        <w:t xml:space="preserve">הוא החל בתגובה לקללה ואיים עליה במילים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כוס אימא שלכם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כשאני אחזור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אוציא לך את העיניים ואפגע בשוטרים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הנאשם ניהל הוכחות מייגעות</w:t>
      </w:r>
      <w:r>
        <w:rPr>
          <w:rtl w:val="true"/>
        </w:rPr>
        <w:t xml:space="preserve">, </w:t>
      </w:r>
      <w:r>
        <w:rPr>
          <w:rtl w:val="true"/>
        </w:rPr>
        <w:t>והגם שאין לו עבר פלילי</w:t>
      </w:r>
      <w:r>
        <w:rPr>
          <w:rtl w:val="true"/>
        </w:rPr>
        <w:t xml:space="preserve">, </w:t>
      </w:r>
      <w:r>
        <w:rPr>
          <w:rtl w:val="true"/>
        </w:rPr>
        <w:t>אף אני סבורה כי אין להקל ראש בעבירה</w:t>
      </w:r>
      <w:r>
        <w:rPr>
          <w:rtl w:val="true"/>
        </w:rPr>
        <w:t xml:space="preserve">, </w:t>
      </w:r>
      <w:r>
        <w:rPr>
          <w:rtl w:val="true"/>
        </w:rPr>
        <w:t>שכן מדובר בעבירה שיש בה פגיעה ציבורית חמורה בתדמית השוטר</w:t>
      </w:r>
      <w:r>
        <w:rPr>
          <w:rtl w:val="true"/>
        </w:rPr>
        <w:t xml:space="preserve">, </w:t>
      </w:r>
      <w:r>
        <w:rPr>
          <w:rtl w:val="true"/>
        </w:rPr>
        <w:t>בעבודתו הקשה וביכולת לאפשר לו לאכוף את החוק על מנת לשמור על הסדר הציבורי</w:t>
      </w:r>
      <w:r>
        <w:rPr>
          <w:rtl w:val="true"/>
        </w:rPr>
        <w:t xml:space="preserve">, </w:t>
      </w:r>
      <w:r>
        <w:rPr>
          <w:rtl w:val="true"/>
        </w:rPr>
        <w:t>שהוא אינטרס ציבורי ממעלה ראשונה בחברה מתוקנת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בעניין זה אציין כי לא מקובלת עלי טענת סניגור כי לא נגרם כל נזק מהאירוע</w:t>
      </w:r>
      <w:r>
        <w:rPr>
          <w:rtl w:val="true"/>
        </w:rPr>
        <w:t xml:space="preserve">. </w:t>
      </w:r>
      <w:r>
        <w:rPr>
          <w:rtl w:val="true"/>
        </w:rPr>
        <w:t>אמנם לא מדובר בנזק הנראה לעין</w:t>
      </w:r>
      <w:r>
        <w:rPr>
          <w:rtl w:val="true"/>
        </w:rPr>
        <w:t xml:space="preserve">, </w:t>
      </w:r>
      <w:r>
        <w:rPr>
          <w:rtl w:val="true"/>
        </w:rPr>
        <w:t>אך כפי שציינתי</w:t>
      </w:r>
      <w:r>
        <w:rPr>
          <w:rtl w:val="true"/>
        </w:rPr>
        <w:t xml:space="preserve">, </w:t>
      </w:r>
      <w:r>
        <w:rPr>
          <w:rtl w:val="true"/>
        </w:rPr>
        <w:t>הנזק הציבורי הינו נזק חמור ופגיעתו המצטברת במלאכת השוטרים</w:t>
      </w:r>
      <w:r>
        <w:rPr>
          <w:rtl w:val="true"/>
        </w:rPr>
        <w:t xml:space="preserve">, </w:t>
      </w:r>
      <w:r>
        <w:rPr>
          <w:rtl w:val="true"/>
        </w:rPr>
        <w:t>וכפועל יוצא באכיפת החוק</w:t>
      </w:r>
      <w:r>
        <w:rPr>
          <w:rtl w:val="true"/>
        </w:rPr>
        <w:t xml:space="preserve">, </w:t>
      </w:r>
      <w:r>
        <w:rPr>
          <w:rtl w:val="true"/>
        </w:rPr>
        <w:t>גורמת לנזק חמור בחברה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אוסיף ואציין כי מתוכן כתב האישום וגם מהעובדות שהוכחו בפניי היה מקום להרשיע את הנאשם גם בעבירה של העלבת עובד ציבור</w:t>
      </w:r>
      <w:r>
        <w:rPr>
          <w:rtl w:val="true"/>
        </w:rPr>
        <w:t xml:space="preserve">, </w:t>
      </w:r>
      <w:r>
        <w:rPr>
          <w:rtl w:val="true"/>
        </w:rPr>
        <w:t>לאור דבריו הפוגעים והמעליבים בציבור השוטרים</w:t>
      </w:r>
      <w:r>
        <w:rPr>
          <w:rtl w:val="true"/>
        </w:rPr>
        <w:t xml:space="preserve">. </w:t>
      </w:r>
      <w:r>
        <w:rPr>
          <w:rtl w:val="true"/>
        </w:rPr>
        <w:t>אמנם לא הרשעתי אותו בעבירה זו</w:t>
      </w:r>
      <w:r>
        <w:rPr>
          <w:rtl w:val="true"/>
        </w:rPr>
        <w:t xml:space="preserve">, </w:t>
      </w:r>
      <w:r>
        <w:rPr>
          <w:rtl w:val="true"/>
        </w:rPr>
        <w:t>משום שהתביעה לא עתרה לכך</w:t>
      </w:r>
      <w:r>
        <w:rPr>
          <w:rtl w:val="true"/>
        </w:rPr>
        <w:t xml:space="preserve">, </w:t>
      </w:r>
      <w:r>
        <w:rPr>
          <w:rtl w:val="true"/>
        </w:rPr>
        <w:t>אך הדברים מעידים על גישתו הנלוזה של הנאשם כלפי השוטרים</w:t>
      </w:r>
      <w:r>
        <w:rPr>
          <w:rtl w:val="true"/>
        </w:rPr>
        <w:t xml:space="preserve">, </w:t>
      </w:r>
      <w:r>
        <w:rPr>
          <w:rtl w:val="true"/>
        </w:rPr>
        <w:t>ומכך כלפי השמירה על 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לאחר ששקלתי את מכלול הנסיבות</w:t>
      </w:r>
      <w:r>
        <w:rPr>
          <w:rtl w:val="true"/>
        </w:rPr>
        <w:t xml:space="preserve">, </w:t>
      </w:r>
      <w:r>
        <w:rPr>
          <w:rtl w:val="true"/>
        </w:rPr>
        <w:t>את גילו הצעיר של הנאשם והעובדה שאין לו עבר פלילי מחד</w:t>
      </w:r>
      <w:r>
        <w:rPr>
          <w:rtl w:val="true"/>
        </w:rPr>
        <w:t xml:space="preserve">, </w:t>
      </w:r>
      <w:r>
        <w:rPr>
          <w:rtl w:val="true"/>
        </w:rPr>
        <w:t>אך מנגד את העובדה שהוא ניהל הוכחות מייגעות וגם לא הביע כל חרטה מהתנהגותו</w:t>
      </w:r>
      <w:r>
        <w:rPr>
          <w:rtl w:val="true"/>
        </w:rPr>
        <w:t xml:space="preserve">, </w:t>
      </w:r>
      <w:r>
        <w:rPr>
          <w:rtl w:val="true"/>
        </w:rPr>
        <w:t>באיזון הדברים אני גוזרת עליו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והנאשם לא ירצה עונש זה אלא אם כן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כל עבירת איומים ו</w:t>
      </w:r>
      <w:r>
        <w:rPr>
          <w:rtl w:val="true"/>
        </w:rPr>
        <w:t>/</w:t>
      </w:r>
      <w:r>
        <w:rPr>
          <w:rtl w:val="true"/>
        </w:rPr>
        <w:t>או כל עבירה כלפי 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קנס בסך </w:t>
      </w:r>
      <w:r>
        <w:rPr/>
        <w:t>2500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תחתיו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ישלם את הקנס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01/02/11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01</w:t>
      </w:r>
      <w:r>
        <w:rPr>
          <w:rtl w:val="true"/>
        </w:rPr>
        <w:t xml:space="preserve"> </w:t>
      </w:r>
      <w:r>
        <w:rPr>
          <w:rtl w:val="true"/>
        </w:rPr>
        <w:t>לחודש 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פיצוי בסך </w:t>
      </w:r>
      <w:r>
        <w:rPr/>
        <w:t>2000</w:t>
      </w:r>
      <w:r>
        <w:rPr>
          <w:rtl w:val="true"/>
        </w:rPr>
        <w:t xml:space="preserve"> ₪ </w:t>
      </w:r>
      <w:r>
        <w:rPr>
          <w:rtl w:val="true"/>
        </w:rPr>
        <w:t>לשוטרת אהובה קסלאסי</w:t>
      </w:r>
      <w:r>
        <w:rPr>
          <w:rtl w:val="true"/>
        </w:rPr>
        <w:t xml:space="preserve">, </w:t>
      </w:r>
      <w:r>
        <w:rPr>
          <w:rtl w:val="true"/>
        </w:rPr>
        <w:t>אותו יפקיד הנאשם בקופת בית המשפט בארבעה תשלומים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01/03/11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01</w:t>
      </w:r>
      <w:r>
        <w:rPr>
          <w:rtl w:val="true"/>
        </w:rPr>
        <w:t xml:space="preserve"> </w:t>
      </w:r>
      <w:r>
        <w:rPr>
          <w:rtl w:val="true"/>
        </w:rPr>
        <w:t>לחודש 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המזכירות תעביר את הפיצוי למתלוננת לפי הפרטים שמסרה המאשימה על פתק שתויק בתיק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/>
          <w:bCs/>
          <w:rtl w:val="true"/>
        </w:rPr>
        <w:t xml:space="preserve">זכות ערעור תוך </w:t>
      </w:r>
      <w:r>
        <w:rPr>
          <w:rFonts w:cs="Times New Roman" w:ascii="Times New Roman" w:hAnsi="Times New Roman"/>
          <w:b/>
          <w:bCs/>
        </w:rPr>
        <w:t>45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ימים לבית המשפט המחוזי בירושלים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אילתה זיסקינד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color w:val="FFFFFF"/>
          <w:sz w:val="6"/>
          <w:szCs w:val="6"/>
        </w:rPr>
        <w:t>54678313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 שבט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26/01/2011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אילתה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זיסקינד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מרי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אן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גורביץ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4047-09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ירושלים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פלילי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 רחמן פאחורי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2011-01-27T10:56:00Z</dcterms:created>
  <dc:creator> </dc:creator>
  <dc:description/>
  <cp:keywords/>
  <dc:language>en-IL</dc:language>
  <cp:lastModifiedBy>einat</cp:lastModifiedBy>
  <dcterms:modified xsi:type="dcterms:W3CDTF">2011-01-27T10:56:00Z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ירושלים (פלילי)</vt:lpwstr>
  </property>
  <property fmtid="{D5CDD505-2E9C-101B-9397-08002B2CF9AE}" pid="3" name="APPELLEE">
    <vt:lpwstr>ע רחמן פאחורי</vt:lpwstr>
  </property>
  <property fmtid="{D5CDD505-2E9C-101B-9397-08002B2CF9AE}" pid="4" name="CITY">
    <vt:lpwstr>י-ם</vt:lpwstr>
  </property>
  <property fmtid="{D5CDD505-2E9C-101B-9397-08002B2CF9AE}" pid="5" name="DATE">
    <vt:lpwstr>20110126</vt:lpwstr>
  </property>
  <property fmtid="{D5CDD505-2E9C-101B-9397-08002B2CF9AE}" pid="6" name="JUDGE">
    <vt:lpwstr>אילתה זיסקינד</vt:lpwstr>
  </property>
  <property fmtid="{D5CDD505-2E9C-101B-9397-08002B2CF9AE}" pid="7" name="NEWPARTA">
    <vt:lpwstr>4047</vt:lpwstr>
  </property>
  <property fmtid="{D5CDD505-2E9C-101B-9397-08002B2CF9AE}" pid="8" name="NEWPARTB">
    <vt:lpwstr/>
  </property>
  <property fmtid="{D5CDD505-2E9C-101B-9397-08002B2CF9AE}" pid="9" name="NEWPARTC">
    <vt:lpwstr>09</vt:lpwstr>
  </property>
  <property fmtid="{D5CDD505-2E9C-101B-9397-08002B2CF9AE}" pid="10" name="NEWPROC">
    <vt:lpwstr>תפ</vt:lpwstr>
  </property>
  <property fmtid="{D5CDD505-2E9C-101B-9397-08002B2CF9AE}" pid="11" name="PROCNUM">
    <vt:lpwstr>4047</vt:lpwstr>
  </property>
  <property fmtid="{D5CDD505-2E9C-101B-9397-08002B2CF9AE}" pid="12" name="PROCYEAR">
    <vt:lpwstr>09</vt:lpwstr>
  </property>
  <property fmtid="{D5CDD505-2E9C-101B-9397-08002B2CF9AE}" pid="13" name="PSAKDIN">
    <vt:lpwstr>גזר-דין</vt:lpwstr>
  </property>
  <property fmtid="{D5CDD505-2E9C-101B-9397-08002B2CF9AE}" pid="14" name="RemarkFileName">
    <vt:lpwstr>shalom sh 09 4047 778 htm</vt:lpwstr>
  </property>
  <property fmtid="{D5CDD505-2E9C-101B-9397-08002B2CF9AE}" pid="15" name="TYPE">
    <vt:lpwstr>3</vt:lpwstr>
  </property>
  <property fmtid="{D5CDD505-2E9C-101B-9397-08002B2CF9AE}" pid="16" name="TYPE_ABS_DATE">
    <vt:lpwstr>380020110126</vt:lpwstr>
  </property>
  <property fmtid="{D5CDD505-2E9C-101B-9397-08002B2CF9AE}" pid="17" name="TYPE_N_DATE">
    <vt:lpwstr>38020110126</vt:lpwstr>
  </property>
  <property fmtid="{D5CDD505-2E9C-101B-9397-08002B2CF9AE}" pid="18" name="WORDNUMPAGES">
    <vt:lpwstr>2</vt:lpwstr>
  </property>
</Properties>
</file>