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79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אליהו ביתן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40492-12-14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קוש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40505-12-14</w:t>
            </w:r>
          </w:p>
        </w:tc>
      </w:tr>
    </w:tbl>
    <w:p>
      <w:pPr>
        <w:pStyle w:val="Normal"/>
        <w:ind w:end="0"/>
        <w:jc w:val="start"/>
        <w:rPr>
          <w:rFonts w:ascii="Times New Roman" w:hAnsi="Times New Roman" w:cs="Times New Roman"/>
          <w:vanish/>
        </w:rPr>
      </w:pPr>
      <w:r>
        <w:rPr>
          <w:rFonts w:cs="Times New Roman" w:ascii="Times New Roman" w:hAnsi="Times New Roman"/>
          <w:vanish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vanish/>
          <w:sz w:val="6"/>
          <w:szCs w:val="6"/>
        </w:rPr>
      </w:pPr>
      <w:r>
        <w:rPr>
          <w:rFonts w:cs="Times New Roman" w:ascii="Times New Roman" w:hAnsi="Times New Roman"/>
          <w:vanish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436"/>
        <w:gridCol w:w="628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בעניין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עומר אבו קוש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טלי פלדמן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ובאי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איל הדר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שלום פינאה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b w:val="false"/>
          <w:bCs w:val="false"/>
          <w:sz w:val="6"/>
          <w:szCs w:val="6"/>
          <w:u w:val="none"/>
        </w:rPr>
        <w:t>#2#</w:t>
      </w:r>
      <w:r>
        <w:rPr>
          <w:b w:val="false"/>
          <w:bCs w:val="false"/>
          <w:sz w:val="6"/>
          <w:szCs w:val="6"/>
          <w:u w:val="none"/>
          <w:rtl w:val="true"/>
        </w:rPr>
        <w:t>&gt;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פקודת מניעת טרור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1945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8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71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1982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192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דאע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נקבע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המיוחדות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השיקול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האינדיבידואלי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בוטלה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צ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התחייבות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להימנע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מעביר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תשלום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הוצאות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הימנעות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דאע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</w:t>
      </w:r>
      <w:r>
        <w:rPr>
          <w:rFonts w:ascii="Times New Roman" w:hAnsi="Times New Roman" w:cs="FrankRuehl"/>
          <w:szCs w:val="26"/>
          <w:rtl w:val="true"/>
        </w:rPr>
        <w:t>כתיבה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הכנה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וייצור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פרסום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בפייסבוק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מסמכים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ורכוש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התאחדות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מותרת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הוסכם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המאשימה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תעתור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להטלת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ארבעה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וההגנה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תעתור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לביטול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הרשע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כדלהלן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ועידוד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לארגון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קיצוני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ומאיים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סביבתו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תומכים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מחזקים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ומעבים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שורותיו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וממילא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מסכנים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המדינות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ובקרבתן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אזרחיהם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בנאמנות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האזרחית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למדינה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ענישת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מושפעת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מטיב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מהקריאה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מהתקופה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מזהות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ארגון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הטרור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מזהות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ממידת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התפוצה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הפרסום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מפוטנציאל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הנזק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ועוד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והיא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ממשית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למספר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ואולם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המיוחדות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השיקול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האינדיבידואלי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בטחוני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הנורמה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הכללית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סובלת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אינטרס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ציבורי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בעידוד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עוזב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ומודה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ובעידוד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תגובה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משפחתית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FrankRuehl"/>
          <w:szCs w:val="26"/>
          <w:rtl w:val="true"/>
        </w:rPr>
        <w:t>חברתית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המוקיעה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עבירה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בוטלה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לתועלת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התחייבות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להימנע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מעביר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תשלום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הוצאות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75,000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David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6"/>
          <w:u w:val="none"/>
        </w:rPr>
      </w:pPr>
      <w:r>
        <w:rPr>
          <w:rFonts w:cs="FrankRuehl" w:ascii="FrankRuehl" w:hAnsi="FrankRuehl"/>
          <w:b w:val="false"/>
          <w:bCs w:val="false"/>
          <w:szCs w:val="26"/>
          <w:u w:val="none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 w:before="0" w:after="1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Start w:id="8" w:name="LawTable_End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bookmarkStart w:id="9" w:name="PsakDin"/>
      <w:bookmarkEnd w:id="9"/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עיקריהן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הוכרז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כהתאחדות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בתאריך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03.09.14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טרוריסטי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המשתמש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בפעולותיו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לחבלתו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כאלה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ובמועדים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הרלוונטיים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התגורר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לסירוגין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ובירדן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האקדמיים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שיתוארו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פייסבוק</w:t>
      </w:r>
      <w:r>
        <w:rPr>
          <w:rFonts w:eastAsia="Times New Roman" w:cs="Calibri" w:ascii="Calibri" w:hAnsi="Calibri"/>
          <w:rtl w:val="true"/>
        </w:rPr>
        <w:t xml:space="preserve">",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389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ההפיכה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בבשאר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אלאסד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בסוריה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לירדן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במורדים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ובמהפכה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בסוריה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לפארס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ירדן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שיטפל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אלטרנטיבי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בלימודים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נחשף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להילחם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והודיע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2013-2014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להילחם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2013-2014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התומכים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קבוצת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תומכי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התומכים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בתאריך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05.09.14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הנוגעים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להצטרפות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לחליפות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האסלאמית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בהתכתבות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ובתאריך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06.09.14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כמייצג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האיסלאמית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ביניהן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וארה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ובנוסף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ממנהיגי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בפייסבוק</w:t>
      </w:r>
      <w:r>
        <w:rPr>
          <w:rFonts w:eastAsia="Times New Roman" w:cs="Calibri" w:ascii="Calibri" w:hAnsi="Calibri"/>
          <w:rtl w:val="true"/>
        </w:rPr>
        <w:t xml:space="preserve">. </w:t>
        <w:tab/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הוזהר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שפרסם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טרוריסטי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לפקודה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1945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כתיבה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וייצור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פרסום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מסמכים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ורכוש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התאחדות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85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16">
        <w:r>
          <w:rPr>
            <w:rStyle w:val="Hyperlink"/>
            <w:rFonts w:ascii="Calibri" w:hAnsi="Calibri" w:eastAsia="Times New Roman" w:cs="Calibri"/>
            <w:rtl w:val="true"/>
          </w:rPr>
          <w:t>תקנות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ההגנה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rtl w:val="true"/>
          </w:rPr>
          <w:t>שעת</w:t>
        </w:r>
        <w:r>
          <w:rPr>
            <w:rStyle w:val="Hyperlink"/>
            <w:rFonts w:ascii="Calibri" w:hAnsi="Calibri" w:eastAsia="Times New Roman" w:cs="Calibri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rtl w:val="true"/>
          </w:rPr>
          <w:t>חירום</w:t>
        </w:r>
        <w:r>
          <w:rPr>
            <w:rStyle w:val="Hyperlink"/>
            <w:rFonts w:eastAsia="Times New Roman" w:cs="Calibri" w:ascii="Calibri" w:hAnsi="Calibri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1945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תעתור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בעבודת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בכפוף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לביטול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הבאים</w:t>
      </w:r>
      <w:r>
        <w:rPr>
          <w:rFonts w:eastAsia="Times New Roman" w:cs="Calibri" w:ascii="Calibri" w:hAnsi="Calibri"/>
          <w:rtl w:val="true"/>
        </w:rPr>
        <w:t>:</w:t>
      </w:r>
      <w:r>
        <w:rPr>
          <w:rFonts w:eastAsia="Times New Roman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28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רווק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בתיכון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אנגלית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במימון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באוניברסיטת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קיימברידג</w:t>
      </w:r>
      <w:r>
        <w:rPr>
          <w:rFonts w:eastAsia="Times New Roman" w:cs="Calibri" w:ascii="Calibri" w:hAnsi="Calibri"/>
          <w:rtl w:val="true"/>
        </w:rPr>
        <w:t xml:space="preserve">', </w:t>
      </w:r>
      <w:r>
        <w:rPr>
          <w:rFonts w:ascii="Calibri" w:hAnsi="Calibri" w:eastAsia="Times New Roman" w:cs="Calibri"/>
          <w:rtl w:val="true"/>
        </w:rPr>
        <w:t>כצעד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ללימודי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בַאוניברסיטה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לקראת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הלימודים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לעזוב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אנגליה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תרבותית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וחברתית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בלימודיו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סיפר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להתמודד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וכישלון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בלימודים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דיכאון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שהתבסס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אלמנטים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ורוחניים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תיאר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דתי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ממגמה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מרכזית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המאופיינת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בעמדה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קורבנית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התמקדות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שמשלם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וההליכים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המתנהלים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ומקושי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ובנזקקותו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בתפיסת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ועמדותיו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אזרחיו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בעמדותיו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ושולל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ותפיסת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התבוננות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מעמיקה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ובולטת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טשטוש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והתבצרות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בעמדות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קורבניות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והעריך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וחלוף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הזמן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התנהגותו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ודחק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רגשיים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אימפוסליבי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להתמודד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לפעול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מכשילה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בהצבת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ושאי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הנעשית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יוצאות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דופן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מתחרט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וציינה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לביטול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רציני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תאוצה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בסביבה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השקיעה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ובלימודיו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ולמרות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והוסיפה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תפוצת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מיידית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ובטחונו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הוסיפה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אמירותיו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חופש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הביטוי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הגבול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רופא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תמיכתו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אכזריות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ההסתדרות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ושהעונש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שהושג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שנעשו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הכרזת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כהתאחדות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ונלקחו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בניכוי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בעבודת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בכפוף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הכרזת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כהתאחדות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בתאריך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03.09.14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05.09.14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06.09.15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לסמיכות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הזמנים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קריאה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לפעילות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הפרסומים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והזהיר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כמתואר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והזהיר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הגורמים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המוסמכים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הסתפקו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באזהרת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ביטחוני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נחקרו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במהלכם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עורכי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סטודנט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ובינתיים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כרוכים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ניכרת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והצהיר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תבוטל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שהוסכם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כקנס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בתור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הוצאות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rtl w:val="true"/>
        </w:rPr>
        <w:tab/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הפרמטרים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מתקיימים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מינורים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שנעשו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שנטענו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הסבירות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קטנה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עיסוקו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הפוטנציאלי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והצהיר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eastAsia="Times New Roman" w:cs="Calibri" w:ascii="Calibri" w:hAnsi="Calibri"/>
          <w:rtl w:val="true"/>
        </w:rPr>
        <w:t xml:space="preserve">. 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לימודיים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ובריאותיים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ונחשף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שמתרחש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בסוריה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בדאעש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בישראל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לישראל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רופא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מצטער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ומתבייש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במשרד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החינוך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ובעשרים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כמנהל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חינך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לאהבת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והכווין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ללמידה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כשנודע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לימודי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נמשכו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למבחנים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ולהשתלב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בחברה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במועדים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הרלוונטיים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נחשף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במורדים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ובמהפכה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המתחוללת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בסוריה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בלימודים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אלטרנטיבי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מטפל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וסיפר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להילחם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הזדמנויות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להילחם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2013-2014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תומכי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2012-2014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בתכנים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באינטרנט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התומכים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בדאעש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ספטמבר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הזדמנויות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התכתבות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המטפל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האלטרנטיבי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הוזהר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תופעה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מיוחדת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במובנים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לענייננו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הקיצוניות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באכזריותן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מקרבנותיו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אזרחים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וברשתות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לקידום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מטרותיו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בקרבת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הגבול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אוהד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שלה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הומוגני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מסוימת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המורכב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מאזרחי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המגייס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לשורותיו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אזרחים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ממדינות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נוהים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ערכיו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וחזונו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משמעות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איפיונים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במתרחש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מארגוני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הגדולים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הפעילים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והמסוכנים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הפועלים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ושדברי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ועידוד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להצטרף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לחליפוּת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האיסלמית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בגלגלי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מכונת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ועידוד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לארגון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קיצוני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סביבתו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תומכים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מחזקים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ומעבים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שורותיו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וממילא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מסכנים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ובקרבתן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אזרחיהם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בנאמנות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האזרחית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באופי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הפרסומים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שיכלו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להיחשף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שהוזהר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eastAsia="Times New Roman" w:cs="Times New Roman" w:ascii="Times New Roman" w:hAnsi="Times New Roman"/>
          <w:rtl w:val="true"/>
        </w:rPr>
        <w:t xml:space="preserve"> </w:t>
        <w:tab/>
      </w:r>
      <w:r>
        <w:rPr>
          <w:rFonts w:ascii="Times New Roman" w:hAnsi="Times New Roman" w:eastAsia="Times New Roman" w:cs="Times New Roman"/>
          <w:rtl w:val="true"/>
        </w:rPr>
        <w:t>ענישת עבירת תמיכה בארגון טרור מושפעת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מטיב המעשה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מהקריאה העולה ממנו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מהתקופה בה הוא נעשה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מזהות ארגון הטרור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מזהות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ממידת התפוצה של הפרסום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מפוטנציאל הנזק של המעשה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ועוד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והיא נעה ממאסר על תנאי ועד למאסר בפועל לתקופה ממשית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hyperlink r:id="rId17"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י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-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ם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b/>
            <w:bCs/>
          </w:rPr>
          <w:t>44920-12-14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אברהים עבדון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פורסם בנבו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eastAsia="Times New Roman" w:cs="Times New Roman" w:ascii="Times New Roman" w:hAnsi="Times New Roman"/>
          <w:b/>
          <w:bCs/>
        </w:rPr>
        <w:t>09.06.15</w:t>
      </w:r>
      <w:r>
        <w:rPr>
          <w:rFonts w:eastAsia="Times New Roman" w:cs="Times New Roman" w:ascii="Times New Roman" w:hAnsi="Times New Roman"/>
          <w:b/>
          <w:bCs/>
          <w:rtl w:val="true"/>
        </w:rPr>
        <w:t>)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הורשע הנאשם על יסוד הודאתו בריבוי עבירות של הסתה לאלימות או לטרור לפי </w:t>
      </w:r>
      <w:hyperlink r:id="rId1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19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ובריבוי עבירות של תמיכה בארגון טרוריסטי לפי </w:t>
      </w:r>
      <w:hyperlink r:id="rId2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>-</w:t>
      </w:r>
      <w:hyperlink r:id="rId21"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22">
        <w:r>
          <w:rPr>
            <w:rStyle w:val="Hyperlink"/>
            <w:rFonts w:ascii="Times New Roman" w:hAnsi="Times New Roman" w:eastAsia="Times New Roman" w:cs="Times New Roman"/>
            <w:rtl w:val="true"/>
          </w:rPr>
          <w:t>פקודת מניעת טרור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במהלך קיץ </w:t>
      </w:r>
      <w:r>
        <w:rPr>
          <w:rFonts w:eastAsia="Times New Roman" w:cs="Times New Roman" w:ascii="Times New Roman" w:hAnsi="Times New Roman"/>
        </w:rPr>
        <w:t>2014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תקופת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צוק איתן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הנאשם שהנו אזרח ותושב ישראל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החזיק וניהל חשבון פייסבוק שנשא את שמו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בו פרסם באופן שיטתי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בהזדמנויות רבות ובתפוצה נרחבת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קריאות ישירות למעשי אלימות נגד אזרחים וכוחות הביטחון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וכן דברי שבח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אהדה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עידוד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תמיכה והזדהות כלפי מעשים אלימים וכלפי עושיהם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בנוסף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פרסם דברי שבח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אהדה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תמיכה והזדהות כלפי ארגוני טרור ופעילים בכירים בהם וכן תמיכה והזדהות עם מחבלים ומבצעי פיגועים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בית המשפט קבע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מתחם העונש ההולם בנסיבות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קרי</w:t>
      </w:r>
      <w:r>
        <w:rPr>
          <w:rFonts w:eastAsia="Times New Roman" w:cs="Times New Roman" w:ascii="Times New Roman" w:hAnsi="Times New Roman"/>
          <w:rtl w:val="true"/>
        </w:rPr>
        <w:t>, "</w:t>
      </w:r>
      <w:r>
        <w:rPr>
          <w:rFonts w:eastAsia="Times New Roman" w:cs="Times New Roman" w:ascii="Times New Roman" w:hAnsi="Times New Roman"/>
        </w:rPr>
        <w:t>40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מקרים של הסתה בוטה וחריפה לאלימות ולטרור וכן תמיכה בארגון טרור ברשת החברתית במהלך תקופה ביטחונית רגישה ומתוחה במיוחד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זאת כשהמפרסם אינו דמות ציבורית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אינדיקציה לחשיפה רחבת היקף או להשפעה מעשית בפועל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נע בין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25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וגזר על הנאשם </w:t>
      </w:r>
      <w:r>
        <w:rPr>
          <w:rFonts w:eastAsia="Times New Roman" w:cs="Times New Roman" w:ascii="Times New Roman" w:hAnsi="Times New Roman"/>
        </w:rPr>
        <w:t>10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hyperlink r:id="rId23"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י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-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ם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b/>
            <w:bCs/>
          </w:rPr>
          <w:t>44918-12-14</w:t>
        </w:r>
      </w:hyperlink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color w:val="000000"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color w:val="000000"/>
          <w:rtl w:val="true"/>
        </w:rPr>
        <w:t xml:space="preserve">סאמי דעיס 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color w:val="000000"/>
          <w:rtl w:val="true"/>
        </w:rPr>
        <w:t>פורסם בנבו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color w:val="000000"/>
        </w:rPr>
        <w:t>19.05.2015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>)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הורשע הנאשם  בהתאם להודאתו בריבוי עבירות של הסתה לאלימות או טרור לפי </w:t>
      </w:r>
      <w:hyperlink r:id="rId2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25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ובריבוי עבירות של תמיכה בארגון טרוריסטי לפי </w:t>
      </w:r>
      <w:hyperlink r:id="rId2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>-</w:t>
      </w:r>
      <w:hyperlink r:id="rId27"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28">
        <w:r>
          <w:rPr>
            <w:rStyle w:val="Hyperlink"/>
            <w:rFonts w:ascii="Times New Roman" w:hAnsi="Times New Roman" w:eastAsia="Times New Roman" w:cs="Times New Roman"/>
            <w:rtl w:val="true"/>
          </w:rPr>
          <w:t>פקודת מניעת טרור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במהלך אירועי קיץ </w:t>
      </w:r>
      <w:r>
        <w:rPr>
          <w:rFonts w:eastAsia="Times New Roman" w:cs="Times New Roman" w:ascii="Times New Roman" w:hAnsi="Times New Roman"/>
        </w:rPr>
        <w:t>2014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פרסם הנאשם בחשבון הפייסבוק שניהל ששמו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מוות לישראל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פרסומים שונים הקוראים לפגיעה אלימה באזרחים ודברי שבח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אהדה עידוד תמיכה והזדהות כלפי מעשי אלימות שבוצעו נגד אזרחים וכלפי מבצעם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נקבע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מתחם העונש ההולם למעשי הנאשם נע בין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20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והנאשם נדון ל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ב</w:t>
      </w:r>
      <w:hyperlink r:id="rId29"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ת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י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>-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rtl w:val="true"/>
          </w:rPr>
          <w:t>ם</w:t>
        </w:r>
        <w:r>
          <w:rPr>
            <w:rStyle w:val="Hyperlink"/>
            <w:rFonts w:eastAsia="Times New Roman" w:cs="Times New Roman" w:ascii="Times New Roman" w:hAnsi="Times New Roman"/>
            <w:b/>
            <w:bCs/>
            <w:rtl w:val="true"/>
          </w:rPr>
          <w:t xml:space="preserve">) </w:t>
        </w:r>
        <w:r>
          <w:rPr>
            <w:rStyle w:val="Hyperlink"/>
            <w:rFonts w:eastAsia="Times New Roman" w:cs="Times New Roman" w:ascii="Times New Roman" w:hAnsi="Times New Roman"/>
            <w:b/>
            <w:bCs/>
          </w:rPr>
          <w:t>44725-12-14</w:t>
        </w:r>
      </w:hyperlink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color w:val="000000"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color w:val="000000"/>
          <w:rtl w:val="true"/>
        </w:rPr>
        <w:t xml:space="preserve">עומר שלבי 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color w:val="000000"/>
          <w:rtl w:val="true"/>
        </w:rPr>
        <w:t>פורסם בנבו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color w:val="000000"/>
        </w:rPr>
        <w:t>12.05.2015</w:t>
      </w:r>
      <w:r>
        <w:rPr>
          <w:rFonts w:eastAsia="Times New Roman" w:cs="Times New Roman" w:ascii="Times New Roman" w:hAnsi="Times New Roman"/>
          <w:b/>
          <w:bCs/>
          <w:color w:val="000000"/>
          <w:rtl w:val="true"/>
        </w:rPr>
        <w:t>)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הנאשם הורשע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פי הודאתו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בעבירות הסתה לאלימות או לטרור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3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31">
        <w:r>
          <w:rPr>
            <w:rStyle w:val="Hyperlink"/>
            <w:rFonts w:ascii="Times New Roman" w:hAnsi="Times New Roman" w:eastAsia="Times New Roman" w:cs="Times New Roman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וכן בשתי עבירות של תמיכה בארגון טרור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3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 w:cs="Times New Roman" w:ascii="Times New Roman" w:hAnsi="Times New Roman"/>
          <w:rtl w:val="true"/>
        </w:rPr>
        <w:t>-</w:t>
      </w:r>
      <w:hyperlink r:id="rId33"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34">
        <w:r>
          <w:rPr>
            <w:rStyle w:val="Hyperlink"/>
            <w:rFonts w:ascii="Times New Roman" w:hAnsi="Times New Roman" w:eastAsia="Times New Roman" w:cs="Times New Roman"/>
            <w:rtl w:val="true"/>
          </w:rPr>
          <w:t>פקודת מניעת טרור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תש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ח – </w:t>
      </w:r>
      <w:r>
        <w:rPr>
          <w:rFonts w:eastAsia="Times New Roman" w:cs="Times New Roman" w:ascii="Times New Roman" w:hAnsi="Times New Roman"/>
        </w:rPr>
        <w:t>1948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ניהל את עמוד הפייסבוק שלו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וכלל פרסומיו הוזנו ישירות לחשבונות מקבילים של כ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5,000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חברים ו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755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עוקבים בפייסבוק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והיו נגישים לעיני כל המרשתת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ובקיץ </w:t>
      </w:r>
      <w:r>
        <w:rPr>
          <w:rFonts w:eastAsia="Times New Roman" w:cs="Times New Roman" w:ascii="Times New Roman" w:hAnsi="Times New Roman"/>
        </w:rPr>
        <w:t>2014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הוא פרסם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במספר רב של הזדמנויות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קריאות לנקיטה במעשי אלימות וטרור כנגד אזרחים וכוחות הביטחון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דברי שבח 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אהדה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עידוד והזדהות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כלפי מחבלים מבצעי פיגועים וארגוני טרור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פרסומים אלה שלהבו משתמשי פייסבוק אחרים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שיתפו תכנים מסיתים אלה לחבריהם ועוקביהם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אשר תמכו בתכנים באמצעות סימני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חיבוב</w:t>
      </w:r>
      <w:r>
        <w:rPr>
          <w:rFonts w:eastAsia="Times New Roman" w:cs="Times New Roman" w:ascii="Times New Roman" w:hAnsi="Times New Roman"/>
          <w:rtl w:val="true"/>
        </w:rPr>
        <w:t>" (</w:t>
      </w:r>
      <w:r>
        <w:rPr>
          <w:rFonts w:eastAsia="Times New Roman" w:cs="Times New Roman" w:ascii="Times New Roman" w:hAnsi="Times New Roman"/>
        </w:rPr>
        <w:t>Like</w:t>
      </w:r>
      <w:r>
        <w:rPr>
          <w:rFonts w:eastAsia="Times New Roman"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eastAsia="Times New Roman" w:cs="Times New Roman"/>
          <w:rtl w:val="true"/>
        </w:rPr>
        <w:t xml:space="preserve">בית המשפט קבע כי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לאחר ששקלתי את כל האמור לעיל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מתן דגש על אופי דברי ההסתה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כמות הפרסומים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מצע התקופה בה פורסמו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וכן היקף תפוצתם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 xml:space="preserve">מתחם הענישה במקרה זה נע בין מאסר למשך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חודשים ועד מאסר למשך </w:t>
      </w:r>
      <w:r>
        <w:rPr>
          <w:rFonts w:eastAsia="Times New Roman" w:cs="Times New Roman" w:ascii="Times New Roman" w:hAnsi="Times New Roman"/>
        </w:rPr>
        <w:t>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וגזר על</w:t>
      </w:r>
      <w:r>
        <w:rPr>
          <w:rFonts w:ascii="Times New Roman" w:hAnsi="Times New Roman" w:eastAsia="Times New Roman" w:cs="Times New Roman"/>
          <w:rtl w:val="true"/>
        </w:rPr>
        <w:t xml:space="preserve"> הנאשם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מהפרטים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המוזכרים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סטודנט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בירדן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סביבתו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מושפע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מהטפת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שטיפל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וממצבם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העגום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אזרחי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הנתונים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למתקפות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ואכזריות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המאבק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שלטונו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פרסומי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התכתבותו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המטפל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האלטרנטיבי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והתוכן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ושטחי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להיחשף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המוזכרים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להכרזת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כהתאחדות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כשלעצמם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מכוונים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במלחמתו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בסוריה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ישראלי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ישיר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מטבע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ההטפה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בדאעש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ההשפעה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שלהם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ישפיע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השפעתו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ויניע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ומבחינה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פרסומים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הפייסבוק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389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ומשפיע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אצלם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ולבדו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הושפע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כמתואר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rtl w:val="true"/>
        </w:rPr>
        <w:t>נראה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שהמניע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בסולידריות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אזרחי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הנמקים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Calibri" w:hAnsi="Calibri" w:eastAsia="Times New Roman" w:cs="Calibri"/>
          <w:rtl w:val="true"/>
        </w:rPr>
        <w:t>משטר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ובתמיכתו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בפעולות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דאעש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הסורי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בנסיבותיהן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</w:t>
      </w:r>
      <w:r>
        <w:rPr>
          <w:rFonts w:eastAsia="Times New Roman"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eastAsia="Times New Roman" w:cs="Times New Roman"/>
          <w:rtl w:val="true"/>
        </w:rPr>
        <w:t xml:space="preserve">הנאשם בן </w:t>
      </w:r>
      <w:r>
        <w:rPr>
          <w:rFonts w:eastAsia="Times New Roman" w:cs="Times New Roman" w:ascii="Times New Roman" w:hAnsi="Times New Roman"/>
        </w:rPr>
        <w:t>28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ללא עבר פלילי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הוא סיים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שנות לימוד בישראל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מכן למד במשך שנה באוניברסיטת קימברידג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באנגליה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ואחר כך עבר לירדן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שם סיים לימודי רפואה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הנאשם נחקר בפרשה זו בשב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היה במעצר למשך למעלה מחודשיים ואחר כך שוחרר בתנאים מגבילים הכוללים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מעצר בית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מלא ואחר כך חלקי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הוא הודה במיוחס לו בהזדמנות הראשונה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שיתף פעולה והביע חרטה על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  <w:r>
        <w:rPr>
          <w:rFonts w:ascii="Times New Roman" w:hAnsi="Times New Roman" w:eastAsia="Times New Roman" w:cs="Times New Roman"/>
          <w:rtl w:val="true"/>
        </w:rPr>
        <w:t>בהתאם להסדר הטיעון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ביקשה התביעה להטיל על הנאשם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 בניכוי ימי מעצרו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שניתן יהיה לשאתם בעבודת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הביטוי המעשי של דרישת התביעה הינו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מאסר בעבודת שירות לתקופה של כחודש וחצי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הכלל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הוא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שהוכחה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אשמתו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בדין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ואולם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hyperlink r:id="rId35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192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'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hyperlink r:id="rId36"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סדר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הדין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הפלילי</w:t>
        </w:r>
      </w:hyperlink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ascii="Calibri" w:hAnsi="Calibri" w:eastAsia="Times New Roman" w:cs="Calibri"/>
          <w:sz w:val="22"/>
          <w:sz w:val="22"/>
          <w:rtl w:val="true"/>
        </w:rPr>
        <w:t>נוסח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משולב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התשמ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1982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מסמיך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לבטל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הרשעה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לתת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לתועלת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הציבור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התחייבות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להימנע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מעבירה</w:t>
      </w:r>
      <w:r>
        <w:rPr>
          <w:rFonts w:eastAsia="Times New Roman" w:cs="Calibri" w:ascii="Calibri" w:hAnsi="Calibri"/>
          <w:sz w:val="22"/>
          <w:rtl w:val="true"/>
        </w:rPr>
        <w:t>.</w:t>
        <w:tab/>
      </w:r>
    </w:p>
    <w:p>
      <w:pPr>
        <w:pStyle w:val="Normal"/>
        <w:overflowPunct w:val="false"/>
        <w:autoSpaceDE w:val="false"/>
        <w:spacing w:lineRule="auto" w:line="360" w:before="0" w:after="240"/>
        <w:ind w:start="1440" w:end="0"/>
        <w:jc w:val="both"/>
        <w:textAlignment w:val="baseline"/>
        <w:rPr>
          <w:rFonts w:ascii="Times New Roman" w:hAnsi="Times New Roman" w:eastAsia="Times New Roman" w:cs="Times New Roman"/>
          <w:spacing w:val="16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מושכלות ראשונים הם כי דרך</w:t>
      </w:r>
      <w:r>
        <w:rPr>
          <w:rFonts w:eastAsia="Times New Roman" w:cs="Times New Roman" w:ascii="Times New Roman" w:hAnsi="Times New Roman"/>
          <w:position w:val="4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כלל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</w:t>
      </w:r>
      <w:r>
        <w:rPr>
          <w:rFonts w:eastAsia="Times New Roman" w:cs="Times New Roman" w:ascii="Times New Roman" w:hAnsi="Times New Roman"/>
          <w:position w:val="4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משפט אשר קבע כי נאשם ביצע את העבירה המיוחסת לו ירשיעו בדין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ככלל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משנמצא כי אדם עבר עבירה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מתחייב כי ההליך הפלילי כנגדו ימוצה בדרך של הרשעתו וענישתו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ומציאות זו עומדת ביסוד הליך אכיפת חוק תקין ושוויוני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לכלל זה – כאשר הוא מוחל על נאשמים </w:t>
      </w:r>
      <w:r>
        <w:rPr>
          <w:rFonts w:ascii="Times New Roman" w:hAnsi="Times New Roman" w:eastAsia="Times New Roman" w:cs="Times New Roman"/>
          <w:spacing w:val="8"/>
          <w:rtl w:val="true"/>
          <w:lang w:eastAsia="he-IL"/>
        </w:rPr>
        <w:t xml:space="preserve">בגירים – נמצא חריג בדמות ההסדר </w:t>
      </w:r>
      <w:hyperlink r:id="rId37">
        <w:r>
          <w:rPr>
            <w:rStyle w:val="Hyperlink"/>
            <w:rFonts w:ascii="Times New Roman" w:hAnsi="Times New Roman" w:eastAsia="Times New Roman" w:cs="Times New Roman"/>
            <w:color w:val="0000FF"/>
            <w:spacing w:val="8"/>
            <w:u w:val="single"/>
            <w:rtl w:val="true"/>
            <w:lang w:eastAsia="he-IL"/>
          </w:rPr>
          <w:t xml:space="preserve">שבסעיף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spacing w:val="8"/>
            <w:u w:val="single"/>
            <w:lang w:eastAsia="he-IL"/>
          </w:rPr>
          <w:t>71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8"/>
            <w:u w:val="single"/>
            <w:rtl w:val="true"/>
            <w:lang w:eastAsia="he-IL"/>
          </w:rPr>
          <w:t>א</w:t>
        </w:r>
      </w:hyperlink>
      <w:r>
        <w:rPr>
          <w:rFonts w:ascii="Times New Roman" w:hAnsi="Times New Roman" w:eastAsia="Times New Roman" w:cs="Times New Roman"/>
          <w:spacing w:val="8"/>
          <w:rtl w:val="true"/>
          <w:lang w:eastAsia="he-IL"/>
        </w:rPr>
        <w:t xml:space="preserve"> ל</w:t>
      </w:r>
      <w:hyperlink r:id="rId38">
        <w:r>
          <w:rPr>
            <w:rStyle w:val="Hyperlink"/>
            <w:rFonts w:ascii="Times New Roman" w:hAnsi="Times New Roman" w:eastAsia="Times New Roman" w:cs="Times New Roman"/>
            <w:spacing w:val="8"/>
            <w:rtl w:val="true"/>
            <w:lang w:eastAsia="he-IL"/>
          </w:rPr>
          <w:t>חוק העונשין</w:t>
        </w:r>
      </w:hyperlink>
      <w:r>
        <w:rPr>
          <w:rFonts w:eastAsia="Times New Roman" w:cs="Times New Roman" w:ascii="Times New Roman" w:hAnsi="Times New Roman"/>
          <w:spacing w:val="8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pacing w:val="8"/>
          <w:rtl w:val="true"/>
          <w:lang w:eastAsia="he-IL"/>
        </w:rPr>
        <w:t>תשל</w:t>
      </w:r>
      <w:r>
        <w:rPr>
          <w:rFonts w:eastAsia="Times New Roman" w:cs="Times New Roman" w:ascii="Times New Roman" w:hAnsi="Times New Roman"/>
          <w:spacing w:val="8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spacing w:val="8"/>
          <w:rtl w:val="true"/>
          <w:lang w:eastAsia="he-IL"/>
        </w:rPr>
        <w:t>ז</w:t>
      </w:r>
      <w:r>
        <w:rPr>
          <w:rFonts w:eastAsia="Times New Roman" w:cs="Times New Roman" w:ascii="Times New Roman" w:hAnsi="Times New Roman"/>
          <w:spacing w:val="8"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spacing w:val="16"/>
          <w:lang w:eastAsia="he-IL"/>
        </w:rPr>
        <w:t>1977</w:t>
      </w:r>
      <w:r>
        <w:rPr>
          <w:rFonts w:eastAsia="Times New Roman" w:cs="Times New Roman" w:ascii="Times New Roman" w:hAnsi="Times New Roman"/>
          <w:spacing w:val="16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pacing w:val="16"/>
          <w:rtl w:val="true"/>
          <w:lang w:eastAsia="he-IL"/>
        </w:rPr>
        <w:t xml:space="preserve">ושלפיו רשאי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</w:t>
      </w:r>
      <w:r>
        <w:rPr>
          <w:rFonts w:eastAsia="Times New Roman" w:cs="Times New Roman" w:ascii="Times New Roman" w:hAnsi="Times New Roman"/>
          <w:position w:val="4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גם כאשר מצא שנאשם ביצע עבירה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להימנע מהרשעתו וליתן בעניינו צו שירות לתועלת הציבור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נוסף על מבחן או בלעדיו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משמתבקש בית</w:t>
      </w:r>
      <w:r>
        <w:rPr>
          <w:rFonts w:eastAsia="Times New Roman" w:cs="Times New Roman" w:ascii="Times New Roman" w:hAnsi="Times New Roman"/>
          <w:position w:val="4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המשפט לשקול אימתי יחיל את הכלל המדבר בחובת הרשעה ומתי יחיל את החריג בדבר הימנעות מהרשעה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נדרש איזון שיקולים המעמיד את האינטרס הציבורי אל מול נסיבותיו האינדיווידואליות של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בראייה כוללת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נשקל מן הצד האחד הצורך במיצויו של ההליך הפלילי בדרך של הרשעת העבריין כדי להשיג בכך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בין היתר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את גורם ההרתעה והאכיפה השוויונית של החוק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שיקול ציבורי זה פועל במשנה תוקף ככל שחומרת העבירה גדולה יותר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והנזקים לפרט ולציבור מביצועה גוברים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overflowPunct w:val="false"/>
        <w:autoSpaceDE w:val="false"/>
        <w:spacing w:lineRule="auto" w:line="360" w:before="0" w:after="240"/>
        <w:ind w:start="1440" w:end="0"/>
        <w:jc w:val="both"/>
        <w:textAlignment w:val="baseline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כנגד השיקול הציבורי נשקל עניינו של הפרט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ובמסגרת זו נבחנים נתונים שונים הנוגעים אליו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וביניהם – טיב העבירה שעבר וחומרתה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עברו הפלילי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גילו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מצב בריאותו והנזק הצפוי לו מהרשעה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באשר לנאשמים בגירים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במאזן השיקולים האמור גובר בדרך</w:t>
      </w:r>
      <w:r>
        <w:rPr>
          <w:rFonts w:eastAsia="Times New Roman" w:cs="Times New Roman" w:ascii="Times New Roman" w:hAnsi="Times New Roman"/>
          <w:position w:val="4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כלל השיקול הציבורי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ורק נסיבות מיוחדות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חריגות ויוצאות</w:t>
      </w:r>
      <w:r>
        <w:rPr>
          <w:rFonts w:eastAsia="Times New Roman" w:cs="Times New Roman" w:ascii="Times New Roman" w:hAnsi="Times New Roman"/>
          <w:position w:val="4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דופן ביותר תצדקנה סטייה מחובת מיצוי הדין בדרך הרשעת העבריין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וזאת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לרוב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כאשר עלול להיווצר יחס בלתי סביר בין הנזק הצפוי מהרשעה בדין לבין חומרתה של העבירה והנזק הצפוי לעבריין מההרשעה</w:t>
      </w:r>
      <w:r>
        <w:rPr>
          <w:rFonts w:eastAsia="Times New Roman" w:cs="Times New Roman" w:ascii="Times New Roman" w:hAnsi="Times New Roman"/>
          <w:rtl w:val="true"/>
          <w:lang w:eastAsia="he-IL"/>
        </w:rPr>
        <w:t>."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(</w:t>
      </w:r>
      <w:hyperlink r:id="rId39"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sz w:val="20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sz w:val="20"/>
            <w:lang w:eastAsia="he-IL"/>
          </w:rPr>
          <w:t>2669/00</w:t>
        </w:r>
        <w:r>
          <w:rPr>
            <w:rStyle w:val="Hyperlink"/>
            <w:rFonts w:eastAsia="Times New Roman" w:cs="Times New Roman" w:ascii="Times New Roman" w:hAnsi="Times New Roman"/>
            <w:sz w:val="20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>מדינת ישראל נגד פלוני  פ</w:t>
        </w:r>
        <w:r>
          <w:rPr>
            <w:rStyle w:val="Hyperlink"/>
            <w:rFonts w:eastAsia="Times New Roman" w:cs="Times New Roman" w:ascii="Times New Roman" w:hAnsi="Times New Roman"/>
            <w:sz w:val="20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sz w:val="20"/>
            <w:sz w:val="20"/>
            <w:rtl w:val="true"/>
            <w:lang w:eastAsia="he-IL"/>
          </w:rPr>
          <w:t>ד נד</w:t>
        </w:r>
      </w:hyperlink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sz w:val="20"/>
          <w:lang w:eastAsia="he-IL"/>
        </w:rPr>
        <w:t>3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) </w:t>
      </w:r>
      <w:r>
        <w:rPr>
          <w:rFonts w:eastAsia="Times New Roman" w:cs="Times New Roman" w:ascii="Times New Roman" w:hAnsi="Times New Roman"/>
          <w:sz w:val="20"/>
          <w:lang w:eastAsia="he-IL"/>
        </w:rPr>
        <w:t>685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eastAsia="Times New Roman" w:cs="Times New Roman" w:ascii="Times New Roman" w:hAnsi="Times New Roman"/>
          <w:sz w:val="20"/>
          <w:lang w:eastAsia="he-IL"/>
        </w:rPr>
        <w:t>689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)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sz w:val="22"/>
        </w:rPr>
        <w:t>10</w:t>
      </w:r>
      <w:r>
        <w:rPr>
          <w:rFonts w:eastAsia="Times New Roman" w:cs="Calibri" w:ascii="Calibri" w:hAnsi="Calibri"/>
          <w:sz w:val="22"/>
          <w:rtl w:val="true"/>
        </w:rPr>
        <w:t>.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נראה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שבמקרה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בהתחשב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במעשי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בנסיבותיהם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ברקע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בהפסקת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המעשים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כשהוזהר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כך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בהודאת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בחקירתו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בהבעת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בנתוני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בגילו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בעברו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הנקי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באורח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חייו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בלימודיו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בהשפעה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העלולה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להרשעתו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חייו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ובפרט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האפשרות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לעסוק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ברפואה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בישראל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ובסיכויי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שיקומו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שהשיקול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האינדיבידואלי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היבטיו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השונים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גובר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השיקול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הציבורי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בטחוני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הנורמה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החברתית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הכללית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סובלת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הרשעתו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בדין</w:t>
      </w:r>
      <w:r>
        <w:rPr>
          <w:rFonts w:eastAsia="Times New Roman" w:cs="Calibri" w:ascii="Calibri" w:hAnsi="Calibri"/>
          <w:sz w:val="22"/>
          <w:rtl w:val="true"/>
        </w:rPr>
        <w:t>. (</w:t>
      </w:r>
      <w:r>
        <w:rPr>
          <w:rFonts w:ascii="Calibri" w:hAnsi="Calibri" w:eastAsia="Times New Roman" w:cs="Calibri"/>
          <w:sz w:val="22"/>
          <w:sz w:val="22"/>
          <w:rtl w:val="true"/>
        </w:rPr>
        <w:t>ראה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והשווה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 </w:t>
      </w:r>
      <w:hyperlink r:id="rId40"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sz w:val="22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sz w:val="22"/>
          </w:rPr>
          <w:t>2083/96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תמר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כתב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sz w:val="22"/>
          <w:sz w:val="22"/>
          <w:rtl w:val="true"/>
        </w:rPr>
        <w:t>מדינ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י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פורסם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בנבו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מיום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21.8.97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</w:t>
      </w:r>
      <w:hyperlink r:id="rId41"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sz w:val="22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sz w:val="22"/>
          </w:rPr>
          <w:t>9893/06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אסנת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לאופר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sz w:val="22"/>
          <w:sz w:val="22"/>
          <w:rtl w:val="true"/>
        </w:rPr>
        <w:t>מדינ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י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פורסם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בנבו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מיום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31.12.07</w:t>
      </w:r>
      <w:r>
        <w:rPr>
          <w:rFonts w:eastAsia="Times New Roman" w:cs="Calibri" w:ascii="Calibri" w:hAnsi="Calibri"/>
          <w:sz w:val="22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sz w:val="22"/>
        </w:rPr>
        <w:t>11</w:t>
      </w:r>
      <w:r>
        <w:rPr>
          <w:rFonts w:eastAsia="Times New Roman" w:cs="Calibri" w:ascii="Calibri" w:hAnsi="Calibri"/>
          <w:sz w:val="22"/>
          <w:rtl w:val="true"/>
        </w:rPr>
        <w:t xml:space="preserve">. 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אני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מודע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למשמעות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ההרתעה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כגון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דא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המעשים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נעשים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מאחורי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אנונימיות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וקיים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קושי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מובנה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לניטורם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ואיתורם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ואולם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המסע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שחווה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למעשיו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– </w:t>
      </w:r>
      <w:r>
        <w:rPr>
          <w:rFonts w:ascii="Calibri" w:hAnsi="Calibri" w:eastAsia="Times New Roman" w:cs="Calibri"/>
          <w:sz w:val="22"/>
          <w:sz w:val="22"/>
          <w:rtl w:val="true"/>
        </w:rPr>
        <w:t>החקירות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היתר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מניעת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מפגש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דין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תקופת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מעצרו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המשמעותית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תנאי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שחרורו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המגבילים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וההעמדה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מחוזי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– </w:t>
      </w:r>
      <w:r>
        <w:rPr>
          <w:rFonts w:ascii="Calibri" w:hAnsi="Calibri" w:eastAsia="Times New Roman" w:cs="Calibri"/>
          <w:sz w:val="22"/>
          <w:sz w:val="22"/>
          <w:rtl w:val="true"/>
        </w:rPr>
        <w:t>אינו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עניין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כדי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להרתיע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ובנוסף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לזכור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עמדת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התביעה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מתקבלת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במלואה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מוטלים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כחודש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וחצי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בעבודת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שבכל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הכבוד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אינם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משמעותית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תמונת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ההרתעה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sz w:val="22"/>
        </w:rPr>
        <w:t>12</w:t>
      </w:r>
      <w:r>
        <w:rPr>
          <w:rFonts w:eastAsia="Times New Roman" w:cs="Calibri" w:ascii="Calibri" w:hAnsi="Calibri"/>
          <w:sz w:val="22"/>
          <w:rtl w:val="true"/>
        </w:rPr>
        <w:t>.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אביו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עצמו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אדם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נורמטיבי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ואזרח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פרודוקטיבי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נזעק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לקריאת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נסע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לירדן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העמידו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מעשיו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וגרם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יתעשת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ויפסיק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מעשיו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לאלתר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מוקיע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במישור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העקרוני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והמעשי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להניח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שהימצאות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בקרבתו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תשפיע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השפעתה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לענייננו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sz w:val="22"/>
          <w:rtl w:val="true"/>
        </w:rPr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אני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סבור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אינטרס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ציבורי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בעידוד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עוזב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ומודה</w:t>
      </w:r>
      <w:r>
        <w:rPr>
          <w:rFonts w:eastAsia="Times New Roman" w:cs="Calibri" w:ascii="Calibri" w:hAnsi="Calibri"/>
          <w:sz w:val="22"/>
          <w:rtl w:val="true"/>
        </w:rPr>
        <w:t xml:space="preserve">" </w:t>
      </w:r>
      <w:r>
        <w:rPr>
          <w:rFonts w:ascii="Calibri" w:hAnsi="Calibri" w:eastAsia="Times New Roman" w:cs="Calibri"/>
          <w:sz w:val="22"/>
          <w:sz w:val="22"/>
          <w:rtl w:val="true"/>
        </w:rPr>
        <w:t>ובעידוד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תגובה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משפחתית</w:t>
      </w:r>
      <w:r>
        <w:rPr>
          <w:rFonts w:ascii="Calibri" w:hAnsi="Calibri" w:eastAsia="Times New Roman" w:cs="Calibri"/>
          <w:sz w:val="22"/>
          <w:sz w:val="22"/>
          <w:rtl w:val="true"/>
        </w:rPr>
        <w:t>–</w:t>
      </w:r>
      <w:r>
        <w:rPr>
          <w:rFonts w:ascii="Calibri" w:hAnsi="Calibri" w:eastAsia="Times New Roman" w:cs="Calibri"/>
          <w:sz w:val="22"/>
          <w:sz w:val="22"/>
          <w:rtl w:val="true"/>
        </w:rPr>
        <w:t>חברתית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המוקיעה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כבענייננו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כשלעצמם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הסיכוי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הטמון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למניעת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חזרה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  <w:sz w:val="22"/>
        </w:rPr>
        <w:t>13</w:t>
      </w:r>
      <w:r>
        <w:rPr>
          <w:rFonts w:eastAsia="Times New Roman" w:cs="Calibri" w:ascii="Calibri" w:hAnsi="Calibri"/>
          <w:sz w:val="22"/>
          <w:rtl w:val="true"/>
        </w:rPr>
        <w:t>.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מיוחדות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ומצדיקות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הליכה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לקראת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בבחירה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הרשעה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והטלת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בעבודת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כחודש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וחצי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הרשעה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והטלת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לתועלת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הציבור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בהיקף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דומה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עדיף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לבחור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באפשרות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השניה</w:t>
      </w:r>
      <w:r>
        <w:rPr>
          <w:rFonts w:eastAsia="Times New Roman" w:cs="Calibri" w:ascii="Calibri" w:hAnsi="Calibri"/>
          <w:sz w:val="22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Times New Roman" w:cs="Calibri" w:ascii="Calibri" w:hAnsi="Calibri"/>
          <w:sz w:val="22"/>
        </w:rPr>
        <w:t>14</w:t>
      </w:r>
      <w:r>
        <w:rPr>
          <w:rFonts w:eastAsia="Times New Roman" w:cs="Calibri" w:ascii="Calibri" w:hAnsi="Calibri"/>
          <w:sz w:val="22"/>
          <w:rtl w:val="true"/>
        </w:rPr>
        <w:t>.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נוכח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האמור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מבטל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הרשעת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-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א</w:t>
      </w:r>
      <w:r>
        <w:rPr>
          <w:rFonts w:eastAsia="Times New Roman" w:cs="Calibri" w:ascii="Calibri" w:hAnsi="Calibri"/>
          <w:sz w:val="22"/>
          <w:rtl w:val="true"/>
        </w:rPr>
        <w:t>.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התחייבות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50,000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₪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להימנע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מעבירת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תמיכה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בארגון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טרוריסטי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יחתום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ייאסר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ימים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.</w:t>
        <w:tab/>
      </w:r>
      <w:r>
        <w:rPr>
          <w:rFonts w:ascii="Calibri" w:hAnsi="Calibri" w:eastAsia="Times New Roman" w:cs="Calibri"/>
          <w:sz w:val="22"/>
          <w:sz w:val="22"/>
          <w:rtl w:val="true"/>
        </w:rPr>
        <w:t>אני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מחייב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בתשלום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הוצאות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75,000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₪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לתועלת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ותאושר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Times New Roman" w:cs="Calibri" w:ascii="Calibri" w:hAnsi="Calibri"/>
        </w:rPr>
        <w:t>15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לתועלת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לאישור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eastAsia="Times New Roman" w:cs="Calibri"/>
          <w:b/>
          <w:b/>
          <w:bCs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45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יום</w:t>
      </w:r>
      <w:r>
        <w:rPr>
          <w:rFonts w:eastAsia="Times New Roman" w:cs="Calibri" w:ascii="Calibri" w:hAnsi="Calibri"/>
          <w:b/>
          <w:bCs/>
          <w:rtl w:val="true"/>
        </w:rPr>
        <w:t>.</w:t>
      </w:r>
    </w:p>
    <w:p>
      <w:pPr>
        <w:pStyle w:val="12"/>
        <w:spacing w:lineRule="auto" w:line="360"/>
        <w:ind w:end="0"/>
        <w:jc w:val="both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#3#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end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אליהו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ביתן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כספי הפיקדון שהפקיד הנאשם בתיק </w:t>
      </w:r>
      <w:hyperlink r:id="rId42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ת </w:t>
        </w:r>
        <w:r>
          <w:rPr>
            <w:rStyle w:val="Hyperlink"/>
          </w:rPr>
          <w:t>40505-12-14</w:t>
        </w:r>
      </w:hyperlink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יועברו לטובת תשלום הוצאות המשפט שנקבעו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 תיוותר יתרה בפיקדון</w:t>
      </w:r>
      <w:r>
        <w:rPr>
          <w:rtl w:val="true"/>
        </w:rPr>
        <w:t xml:space="preserve">, </w:t>
      </w:r>
      <w:r>
        <w:rPr>
          <w:rtl w:val="true"/>
        </w:rPr>
        <w:t>היא תוחזר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אליהו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ביתן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 xml:space="preserve"> 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40492-12-14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עומר אבו קוש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0492-12-14"/>
    <w:docVar w:name="caseId" w:val="72378936"/>
    <w:docVar w:name="deriveClass" w:val="NGCS.Protocol.BL.Client.ProtocolBLClientCriminal"/>
    <w:docVar w:name="firstPageNumber" w:val="19"/>
    <w:docVar w:name="MyInfo" w:val="This document was extracted from Nevo's site"/>
    <w:docVar w:name="NGCS.caseTypeID" w:val="-1"/>
    <w:docVar w:name="NGCS.courtID" w:val="16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62732334@GOV.IL"/>
    <w:docVar w:name="privellegeId" w:val="2"/>
    <w:docVar w:name="protocolId" w:val="5993121"/>
    <w:docVar w:name="releaseSign" w:val="0"/>
    <w:docVar w:name="sittingDateTime" w:val="08/09/2015 09:00     "/>
    <w:docVar w:name="sittingId" w:val="79412078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1">
    <w:name w:val="כללי"/>
    <w:basedOn w:val="Normal"/>
    <w:qFormat/>
    <w:pPr>
      <w:overflowPunct w:val="false"/>
      <w:autoSpaceDE w:val="false"/>
      <w:spacing w:lineRule="exact" w:line="280" w:before="0" w:after="240"/>
      <w:ind w:firstLine="284" w:start="0" w:end="0"/>
      <w:jc w:val="both"/>
      <w:textAlignment w:val="baseline"/>
    </w:pPr>
    <w:rPr>
      <w:rFonts w:ascii="Times New Roman" w:hAnsi="Times New Roman" w:eastAsia="Times New Roman"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4" TargetMode="External"/><Relationship Id="rId4" Type="http://schemas.openxmlformats.org/officeDocument/2006/relationships/hyperlink" Target="http://www.nevo.co.il/law/72515/4.b" TargetMode="External"/><Relationship Id="rId5" Type="http://schemas.openxmlformats.org/officeDocument/2006/relationships/hyperlink" Target="http://www.nevo.co.il/law/72515/4.g" TargetMode="External"/><Relationship Id="rId6" Type="http://schemas.openxmlformats.org/officeDocument/2006/relationships/hyperlink" Target="http://www.nevo.co.il/law/73729" TargetMode="External"/><Relationship Id="rId7" Type="http://schemas.openxmlformats.org/officeDocument/2006/relationships/hyperlink" Target="http://www.nevo.co.il/law/73729/85.g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71a" TargetMode="External"/><Relationship Id="rId10" Type="http://schemas.openxmlformats.org/officeDocument/2006/relationships/hyperlink" Target="http://www.nevo.co.il/law/70301/144d.2" TargetMode="External"/><Relationship Id="rId11" Type="http://schemas.openxmlformats.org/officeDocument/2006/relationships/hyperlink" Target="http://www.nevo.co.il/law/70301/144d2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92a" TargetMode="External"/><Relationship Id="rId14" Type="http://schemas.openxmlformats.org/officeDocument/2006/relationships/hyperlink" Target="http://www.nevo.co.il/law/72515/4" TargetMode="External"/><Relationship Id="rId15" Type="http://schemas.openxmlformats.org/officeDocument/2006/relationships/hyperlink" Target="http://www.nevo.co.il/law/73729/85.g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case/18750191" TargetMode="External"/><Relationship Id="rId18" Type="http://schemas.openxmlformats.org/officeDocument/2006/relationships/hyperlink" Target="http://www.nevo.co.il/law/70301/144d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2515/4.b" TargetMode="External"/><Relationship Id="rId21" Type="http://schemas.openxmlformats.org/officeDocument/2006/relationships/hyperlink" Target="http://www.nevo.co.il/law/72515/4.g" TargetMode="External"/><Relationship Id="rId22" Type="http://schemas.openxmlformats.org/officeDocument/2006/relationships/hyperlink" Target="http://www.nevo.co.il/law/72515" TargetMode="External"/><Relationship Id="rId23" Type="http://schemas.openxmlformats.org/officeDocument/2006/relationships/hyperlink" Target="http://www.nevo.co.il/case/18750188" TargetMode="External"/><Relationship Id="rId24" Type="http://schemas.openxmlformats.org/officeDocument/2006/relationships/hyperlink" Target="http://www.nevo.co.il/law/70301/144d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2515/4.b" TargetMode="External"/><Relationship Id="rId27" Type="http://schemas.openxmlformats.org/officeDocument/2006/relationships/hyperlink" Target="http://www.nevo.co.il/law/72515/4.g" TargetMode="External"/><Relationship Id="rId28" Type="http://schemas.openxmlformats.org/officeDocument/2006/relationships/hyperlink" Target="http://www.nevo.co.il/law/72515" TargetMode="External"/><Relationship Id="rId29" Type="http://schemas.openxmlformats.org/officeDocument/2006/relationships/hyperlink" Target="http://www.nevo.co.il/case/18749990" TargetMode="External"/><Relationship Id="rId30" Type="http://schemas.openxmlformats.org/officeDocument/2006/relationships/hyperlink" Target="http://www.nevo.co.il/law/70301/144d.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2515/4.b" TargetMode="External"/><Relationship Id="rId33" Type="http://schemas.openxmlformats.org/officeDocument/2006/relationships/hyperlink" Target="http://www.nevo.co.il/law/72515/4.g" TargetMode="External"/><Relationship Id="rId34" Type="http://schemas.openxmlformats.org/officeDocument/2006/relationships/hyperlink" Target="http://www.nevo.co.il/law/72515" TargetMode="External"/><Relationship Id="rId35" Type="http://schemas.openxmlformats.org/officeDocument/2006/relationships/hyperlink" Target="http://www.nevo.co.il/law/74903/192a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0301/71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849797" TargetMode="External"/><Relationship Id="rId40" Type="http://schemas.openxmlformats.org/officeDocument/2006/relationships/hyperlink" Target="http://www.nevo.co.il/case/5810781" TargetMode="External"/><Relationship Id="rId41" Type="http://schemas.openxmlformats.org/officeDocument/2006/relationships/hyperlink" Target="http://www.nevo.co.il/case/6161385" TargetMode="External"/><Relationship Id="rId42" Type="http://schemas.openxmlformats.org/officeDocument/2006/relationships/hyperlink" Target="http://www.nevo.co.il/case/18745027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2015-09-10T07:06:00Z</dcterms:created>
  <dc:creator> </dc:creator>
  <dc:description/>
  <cp:keywords/>
  <dc:language>en-IL</dc:language>
  <cp:lastModifiedBy>orly</cp:lastModifiedBy>
  <dcterms:modified xsi:type="dcterms:W3CDTF">2015-09-10T07:06:00Z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אבו קוש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18745026;18750191;18750188;18749990;5849797;5810781;6161385;18745027:2</vt:lpwstr>
  </property>
  <property fmtid="{D5CDD505-2E9C-101B-9397-08002B2CF9AE}" pid="9" name="CITY">
    <vt:lpwstr>ב"ש</vt:lpwstr>
  </property>
  <property fmtid="{D5CDD505-2E9C-101B-9397-08002B2CF9AE}" pid="10" name="DATE">
    <vt:lpwstr>20150908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72515/004;004.b:3;004.g:3</vt:lpwstr>
  </property>
  <property fmtid="{D5CDD505-2E9C-101B-9397-08002B2CF9AE}" pid="15" name="LAWLISTTMP2">
    <vt:lpwstr>73729/085.g</vt:lpwstr>
  </property>
  <property fmtid="{D5CDD505-2E9C-101B-9397-08002B2CF9AE}" pid="16" name="LAWLISTTMP3">
    <vt:lpwstr>70301/144d2:2;144d.2;071a</vt:lpwstr>
  </property>
  <property fmtid="{D5CDD505-2E9C-101B-9397-08002B2CF9AE}" pid="17" name="LAWLISTTMP4">
    <vt:lpwstr>74903/192a</vt:lpwstr>
  </property>
  <property fmtid="{D5CDD505-2E9C-101B-9397-08002B2CF9AE}" pid="18" name="LAWYER">
    <vt:lpwstr>טלי פלדמן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מיכל</vt:lpwstr>
  </property>
  <property fmtid="{D5CDD505-2E9C-101B-9397-08002B2CF9AE}" pid="25" name="NEWPARTA">
    <vt:lpwstr>40492</vt:lpwstr>
  </property>
  <property fmtid="{D5CDD505-2E9C-101B-9397-08002B2CF9AE}" pid="26" name="NEWPARTB">
    <vt:lpwstr>12</vt:lpwstr>
  </property>
  <property fmtid="{D5CDD505-2E9C-101B-9397-08002B2CF9AE}" pid="27" name="NEWPARTC">
    <vt:lpwstr>14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77;18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הרשעה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1446;465</vt:lpwstr>
  </property>
  <property fmtid="{D5CDD505-2E9C-101B-9397-08002B2CF9AE}" pid="51" name="NOSE31">
    <vt:lpwstr>מדיניות ענישה: עבירות ביטחון</vt:lpwstr>
  </property>
  <property fmtid="{D5CDD505-2E9C-101B-9397-08002B2CF9AE}" pid="52" name="NOSE310">
    <vt:lpwstr/>
  </property>
  <property fmtid="{D5CDD505-2E9C-101B-9397-08002B2CF9AE}" pid="53" name="NOSE32">
    <vt:lpwstr>הימנעות מהרשעה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8985;3634</vt:lpwstr>
  </property>
  <property fmtid="{D5CDD505-2E9C-101B-9397-08002B2CF9AE}" pid="62" name="PADIDATE">
    <vt:lpwstr>20150910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390120150908</vt:lpwstr>
  </property>
  <property fmtid="{D5CDD505-2E9C-101B-9397-08002B2CF9AE}" pid="72" name="TYPE_N_DATE">
    <vt:lpwstr>39020150908</vt:lpwstr>
  </property>
  <property fmtid="{D5CDD505-2E9C-101B-9397-08002B2CF9AE}" pid="73" name="VOLUME">
    <vt:lpwstr/>
  </property>
  <property fmtid="{D5CDD505-2E9C-101B-9397-08002B2CF9AE}" pid="74" name="WORDNUMPAGES">
    <vt:lpwstr>11</vt:lpwstr>
  </property>
</Properties>
</file>