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5"/>
        <w:gridCol w:w="365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40536-10-20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סביחאת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נאסר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השאן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511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סביחאת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מבוא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הודה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שלא כלל 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הודאתו בביצוע עבירה של נשיאת והובלת נשק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14.10.2020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בביתם של איברהים ופירוז אגבריה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דודיו של הנאשם המתגוררים בסאלם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או בסמוך אליו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החזיק ונשא על גופו אקדח חצי אוטומטי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הנושא מספר סידורי </w:t>
      </w:r>
      <w:r>
        <w:rPr>
          <w:rFonts w:cs="David" w:ascii="David" w:hAnsi="David"/>
        </w:rPr>
        <w:t>07132878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שסוגל לירות כדור ובכוחו להמית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כשהוא טעון במחסנית מתאימה המהווה אביזר לנשק ובתכונה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נשא את הנשק הטעון סמוך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אותו בידו עד אשר הגיע סמוך לפלטה גדולה המונחת על הקרקע מאחורי הבית והניח את האקדח 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ראיות הצדדים לעונש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מסמכים רפואיים בעניינה של אשתו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ואמו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מטעם המאשימה לא הוגשו 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נמנע מהמלצה טיפולית בעניינו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לאור התייחסותו המורכבת לנסיבות ביצוע העבירה והקושי להתבונן בקשייו הרגשיים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להערכת קצינת המבחן ענישה קונקרטית מרתיעה ומציבת 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ייתכן שיש בה כדי לצמצם ולהפחית את הסיכון להישנות מעורבות בפלילים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קצינת המבחן התייחסה בהרחבה לנסיבות חי</w:t>
      </w:r>
      <w:r>
        <w:rPr>
          <w:rFonts w:ascii="David" w:hAnsi="David"/>
          <w:rtl w:val="true"/>
        </w:rPr>
        <w:t xml:space="preserve">י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שגדל והתחנך בבית הוריו בסאלם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למשפחה המונה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ועמד על נסיבות רפואיות של בני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התחתן לפני 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לילדה ואשתו בהיריון שני מתקדם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לקח אחריות חלקית ופורמאלית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מזער וצמצם את חומרת מעשיו ואת הסיכון שנשקף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מצא את האקדח מונח מאחורי הבית של דודיו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ומתוך סקרנות הרים אותו ובהמשך החזיר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הכחיש כי נשא את הנשק על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קצינת המבחן הנאשם מביע צער על מעורבותו בפלילים והוא נרתע מההליך הפלילי המתנהל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 ניכר כי הנאשם לא חשף בפני קצינת המבחן את המניעים שעמדו בבסיס העבירה וקשריו השוליים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הציג עמדה הגנתית תוך צמצום רגשי וקושי להתבונן בדפוסי חשיבתו והתנהגותו שבאו לידי ביטוי בעת 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הערכת הסיכון לעבריינות והסיכוי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התקשתה קצינת המבחן </w:t>
      </w:r>
      <w:r>
        <w:rPr>
          <w:rFonts w:ascii="David" w:hAnsi="David"/>
          <w:rtl w:val="true"/>
        </w:rPr>
        <w:t>להעריך סיכון</w:t>
      </w:r>
      <w:r>
        <w:rPr>
          <w:rFonts w:ascii="David" w:hAnsi="David"/>
          <w:rtl w:val="true"/>
        </w:rPr>
        <w:t xml:space="preserve"> להישנות עבירות מהסוג הנדון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והעריכה כי לא ניתן לשלול סיכון מסוג זה בעתיד וזאת בשל דפוסי ההסתרה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הקושי לתת אמון בסביבה ובגורמי 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הבאים לידי ביטוי בצמצום אחריותו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צמצום רגשי והתייחסות מצמצמת ומגמתית באשר לנסיבות ביצוע העבירה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 המבחן התרשמה כי בשל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הקושי בהפעלת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גבולות פנימיים ברורים ומחזקים ואופי העבירה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יתכן כי הנאשם פעל בהתאם לנורמות התנהגות עברייניות והם אלו שעמדו בבסיס 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קצינת המבחן ציינה כי לנאשם כוחות חיוביים מסוימים אשר סייעו לו לשמור על מסגרת תעסוקתית יציבה מגיל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דאגה לפרנסת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 כי הנאשם נרתע מההליך הפלילי המשמש עבורו כגבול חיצוני ברור ולכן לא היו הפרות מצידו בכל תקופת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נכונות מילולית להשתלב בטיפול קבוצתי המיועד לעוברי חוק בתחם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התייחסותו היתה שטחית תוך שהוא התקשה לקחת אחריות על מעשיו כבסיס להשתלבות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להצביע על דפוסים מכשילים כלשהם בהתנהלותו ולהתבונן רגשית בקשיים שהובילו אותו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העניין העריכה קצינת המבחן כי הנאשם אינו בשל לטיפול בשלב זה והוא מונע בעיקר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מוטיבציה חיצונית בשל אימת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בתסקיר שירות המבחן לגבי נסיבות ביצוע העבירה וטענת הנאשם כי לא נשא את הנשק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בדיון שהתקיים בפניי ביום </w:t>
      </w:r>
      <w:r>
        <w:rPr>
          <w:rFonts w:cs="David" w:ascii="David" w:hAnsi="David"/>
        </w:rPr>
        <w:t>15.07.2020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נדרש </w:t>
      </w:r>
      <w:r>
        <w:rPr>
          <w:rFonts w:ascii="David" w:hAnsi="David"/>
          <w:rtl w:val="true"/>
        </w:rPr>
        <w:t>הנאשם להבהיר עמדתו באשר לנטילת האחריות מצ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 למיוחס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עובדות כתב האישום המתוקן הוקראו לנאשם </w:t>
      </w:r>
      <w:r>
        <w:rPr>
          <w:rFonts w:ascii="David" w:hAnsi="David"/>
          <w:rtl w:val="true"/>
        </w:rPr>
        <w:t xml:space="preserve">בשנית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תורגמו לו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והוא הבהיר כי הוא עומד על הודאתו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שמעתי את טיעוני הצדדים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תמצית טענות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בטיעוניו לעונש בפניי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טען למתחם ענישה הולם אשר נע בין שנה וחצי עד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וביקש להשית על הנאשם עונש במחצית התחתונה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שהפנה לפסיקה בעניין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יש לתת את הדעת לפוטנציאל הנזק ההרסני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להרתעה ולהגנה על הערכים המוגנים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כי מתחם העונש ההולם בנסיבות העניין נע בין מאסר שירוצה בעבודות שירות 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מדובר בנאשם צעיר יליד </w:t>
      </w:r>
      <w:r>
        <w:rPr>
          <w:rFonts w:cs="David" w:ascii="David" w:hAnsi="David"/>
        </w:rPr>
        <w:t>1996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כתב האישום המתוקן ולקח אחריות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בהתייחסו לנסיבות ביצוע העבירה נטען כי הנאשם נשא את הנשק לפרק זמן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ספציפי ורגעי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והניח אותו מאחורי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לא ניסה להעלים או לזרוק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 כי הנאשם חסך זמן שיפוטי יקר ובהעדת עדים 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לאמור בתסקיר שירות המבחן ולמחירים האישיים ששילם הנאשם בהרחקתו ממקום מגוריו ומאשתו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לא נרשמו ל</w:t>
      </w:r>
      <w:r>
        <w:rPr>
          <w:rFonts w:ascii="David" w:hAnsi="David"/>
          <w:rtl w:val="true"/>
        </w:rPr>
        <w:t>חובת ה</w:t>
      </w:r>
      <w:r>
        <w:rPr>
          <w:rFonts w:ascii="David" w:hAnsi="David"/>
          <w:rtl w:val="true"/>
        </w:rPr>
        <w:t>נאשם הפרות במשך תקופת מעצרו באיזוק אלקטרוני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 הנאשם לבית המשפט הביע צער וחרטה על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הוא לוקח אחריות על מעשיו ומבקש לפתוח דף 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עשיתי טעות חמורה ולא אחזור על מעשיי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העיקרון המנחה בענישה בהתאם לתיקון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הוא 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>" (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בהתאם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מתווה שלושה שלבים לקביעת עונשו של 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בשלב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את מתחם העונש ההולם לכל עבירה ולאור נסיבות 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יצוין כי ככל והנאשם הורשע במספר עבירות על בית המשפט לבחון האם מדובר בעבירות המהוות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מספר אירועים ובהתאם לקבוע מתחם ענישה הולם לכל אירוע בנפרד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לבחון אם יש מקום לחרוג מן המתחם עקב 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שלום הציבור הנוגעים לנאשם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נמצא שאין מקום לחרוג מהמתחם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יגזור בית המשפט את עונשו של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בחינת נסיבותיו האישיות שאינן קשורות לביצוע העבירה </w:t>
      </w:r>
      <w:r>
        <w:rPr>
          <w:rFonts w:cs="David" w:ascii="David" w:hAnsi="David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5214/13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סירחאן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30.12.2013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בקביעת מתחם העונש ההולם למעשה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שנפגעו כתוצאה מביצוע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הנם שמירה על חיי אדם ועל שלמות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סדרי חיים תקינים ושלווים שאינם מופרעים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איש האוחז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שמירה על שלטון החוק </w:t>
      </w:r>
      <w:r>
        <w:rPr>
          <w:rFonts w:ascii="David" w:hAnsi="David"/>
          <w:rtl w:val="true"/>
        </w:rPr>
        <w:t xml:space="preserve">ועל </w:t>
      </w:r>
      <w:r>
        <w:rPr>
          <w:rFonts w:ascii="David" w:hAnsi="David"/>
          <w:rtl w:val="true"/>
        </w:rPr>
        <w:t xml:space="preserve">ביטחון הציבור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ביטון</w:t>
      </w:r>
      <w:r>
        <w:rPr>
          <w:rFonts w:cs="David" w:ascii="David" w:hAnsi="David"/>
          <w:rtl w:val="true"/>
        </w:rPr>
        <w:t xml:space="preserve">")). </w:t>
      </w:r>
      <w:r>
        <w:rPr>
          <w:rFonts w:ascii="David" w:hAnsi="David"/>
          <w:rtl w:val="true"/>
        </w:rPr>
        <w:t>לא נכביר מילים לגבי התופעה שפשתה במחוזותינו</w:t>
      </w:r>
      <w:r>
        <w:rPr>
          <w:rFonts w:ascii="David" w:hAnsi="David"/>
          <w:rtl w:val="true"/>
        </w:rPr>
        <w:t xml:space="preserve"> הנוגעת לעבירות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 נקבע כי עבירות נשק לסוגיהן היו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 מגלמות בתוכן סיכון ממשי ופוטנציאל הרסני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המגיע כדי פגיעה בביטחון האישי הבסיסי והיומיומי של כלל האזרחים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עוברי אורח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מוצאים את מותם בשל שימוש בנשק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ניסיון החיים 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לרוב נעשה שימוש בנשק למטרות פליליות אשר גרמו לא אחת לפגיעה בחפים מפשע ולאובדן חיי אדם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אדרי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22.02.2007</w:t>
      </w:r>
      <w:r>
        <w:rPr>
          <w:rFonts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אגבאריה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21.06.2021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זמינותם של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מערערים את הסדר הציבורי ופוגעים בתחושת הביטחון האישי של אזרחי המדינה </w:t>
      </w:r>
      <w:r>
        <w:rPr>
          <w:rFonts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5833/07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18.11.2007</w:t>
      </w:r>
      <w:r>
        <w:rPr>
          <w:rFonts w:cs="David" w:ascii="David" w:hAnsi="David"/>
          <w:rtl w:val="true"/>
        </w:rPr>
        <w:t xml:space="preserve">)), </w:t>
      </w:r>
      <w:r>
        <w:rPr>
          <w:rFonts w:ascii="David" w:hAnsi="David"/>
          <w:rtl w:val="true"/>
        </w:rPr>
        <w:t>ולדאבון הלב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סכסוכים רבים בין מחזיקי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סכסוכים של מה בכך מתדרדרים במהרה כדי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לא אחת על הסכנה הרבה הטמונה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בשל כך שה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מקימות פוטנציאל להסלמה עבריינית ויוצרות סיכון ממשי וחמור לשלום הציבור וביטחונו</w:t>
      </w:r>
      <w:r>
        <w:rPr>
          <w:rFonts w:cs="David" w:ascii="David" w:hAnsi="David"/>
          <w:rtl w:val="true"/>
        </w:rPr>
        <w:t>" 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6989/13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25.02.2014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יפים לעניין זה הדברים שנקבעו 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30.12.2020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– חמורות מנשוא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אחריתן – מי ישורנה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נקבע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היתה זו פעם ראשונה לנאשם שמעד בעבירות הקשורות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נחמול ולא נכסה עליו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נשלחהו למאסר מאחורי סורג ובריח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הריהן 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אזרחים רבים מקפחים את חייהם מידי שנה בעטיין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ותחושת הביטחון הכללית של הציבור – נפגעת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נדרשת גם היא ליתן את חלקה במלחמת החורמה שמנהלת מדינת ישראל נגד מבצעי העבירות הללו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ולפיכך מדיניות הענישה מצויה במגמת החמרה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וכן ראו</w:t>
      </w:r>
      <w:r>
        <w:rPr>
          <w:rFonts w:cs="David" w:ascii="David" w:hAnsi="David"/>
          <w:rtl w:val="true"/>
        </w:rPr>
        <w:t xml:space="preserve">: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22.11.2020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ענבתאוי</w:t>
      </w:r>
      <w:r>
        <w:rPr>
          <w:rFonts w:cs="David" w:ascii="David" w:hAnsi="David"/>
          <w:rtl w:val="true"/>
        </w:rPr>
        <w:t xml:space="preserve">").  </w:t>
      </w:r>
    </w:p>
    <w:p>
      <w:pPr>
        <w:pStyle w:val="Normal"/>
        <w:spacing w:lineRule="auto" w:line="360"/>
        <w:ind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מידת הפגיעה בערכים החברתיים המוגנים במקרה שלפנינו הנה בינונית והיא נגזרת מנסיבות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ונשא על גופו אקדח חצי אוטומטי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טעון במחסנית מתאימה ובתוכה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דהיינו 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המוכן לירי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לתת את הדעת לכך שהנאשם נשא והוביל את הנשק הטעון סמוך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אוחז אותו בידו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הגם שמדובר בעבירה </w:t>
      </w:r>
      <w:r>
        <w:rPr>
          <w:rFonts w:ascii="David" w:hAnsi="David"/>
          <w:rtl w:val="true"/>
        </w:rPr>
        <w:t xml:space="preserve">שהיא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פחות חמורה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מאשר עבירה בנשק מסוג תת מקלע</w:t>
      </w:r>
      <w:r>
        <w:rPr>
          <w:rFonts w:ascii="David" w:hAnsi="David"/>
          <w:rtl w:val="true"/>
        </w:rPr>
        <w:t xml:space="preserve"> לדוגמא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אף בעבירה בה עסקינן טמון פ</w:t>
      </w:r>
      <w:r>
        <w:rPr>
          <w:rFonts w:ascii="David" w:hAnsi="David"/>
          <w:rtl w:val="true"/>
        </w:rPr>
        <w:t xml:space="preserve">וטנציאל נזק </w:t>
      </w:r>
      <w:r>
        <w:rPr>
          <w:rFonts w:ascii="David" w:hAnsi="David"/>
          <w:rtl w:val="true"/>
        </w:rPr>
        <w:t>גדול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 של הנאשם בביצוע העבירה הוא מלא ובלעדי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נטען בפניי להסבר המניח את הדעת לפשר החזקת הנשק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והמניע לכך נותר עמום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לא ברור כיצד ובאילו נסיבות הגיע הנשק לידי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אף בפני שירות המבחן לא נתן הנאשם הסבר המניח את הדעת להחזקת הנשק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פוטנציאל הנזק שצפוי היה להיגרם בעבירות נשק בכלל הוא רב וכולל פגיעה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שנקבע לא אחת בהלכה הפסוקה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החשש הוא כי נשק המוחזק שלא כדין ישמש לפעילות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העלולה להביא לפגיעה ואף לקיפוח חייהם של אזרחים תמימים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לכך שלא נעשה שימוש בנשק ולא נגרם נזק מוחשי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הנשק נתפס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באשר </w:t>
      </w:r>
      <w:r>
        <w:rPr>
          <w:rFonts w:ascii="David" w:hAnsi="David"/>
          <w:b/>
          <w:b/>
          <w:bCs/>
          <w:rtl w:val="true"/>
        </w:rPr>
        <w:t>למדיניות הענישה הנהוגה</w:t>
      </w:r>
      <w:r>
        <w:rPr>
          <w:rFonts w:ascii="David" w:hAnsi="David"/>
          <w:rtl w:val="true"/>
        </w:rPr>
        <w:t xml:space="preserve">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לאחרונה ניכרת בפסיקה מגמת החמרה בעונשי המאסר הנגזרים על </w:t>
      </w:r>
      <w:r>
        <w:rPr>
          <w:rFonts w:ascii="David" w:hAnsi="David"/>
          <w:rtl w:val="true"/>
        </w:rPr>
        <w:t>מורשעים</w:t>
      </w:r>
      <w:r>
        <w:rPr>
          <w:rFonts w:ascii="David" w:hAnsi="David"/>
          <w:rtl w:val="true"/>
        </w:rPr>
        <w:t xml:space="preserve"> בעבירת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כפי שנקבע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ידי בית המשפט העליון </w:t>
      </w:r>
      <w:r>
        <w:rPr>
          <w:rFonts w:ascii="David" w:hAnsi="David"/>
          <w:b/>
          <w:b/>
          <w:bCs/>
          <w:rtl w:val="true"/>
        </w:rPr>
        <w:t>בעניין ענבתאוי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בלב הדברים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עומדת החומרה היתרה הנודעת לביצוע עבירות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לסוגיהן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 משפט זה חזר ועמד בפסיקתו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הסכנה הממשית הגלומה בעבירות אלה לשלום הציבור ולביטחונו ועל הצורך האקוטי במיגורן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ובכלל זה על הצורך בהחמרת הענישה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עונשם של המעורבים בעבירות בנשק הוא מאסר ממושך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הם נעדרים עבר פלילי מכל סוג שהוא וזו להם העבירה הראשונה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וכך גם אם מדובר בבגירים צעירים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במקרים המתאימים</w:t>
      </w:r>
      <w:r>
        <w:rPr>
          <w:rFonts w:cs="David" w:ascii="David" w:hAnsi="David"/>
          <w:b/>
          <w:bCs/>
          <w:rtl w:val="true"/>
        </w:rPr>
        <w:t xml:space="preserve">(...). </w:t>
      </w:r>
      <w:r>
        <w:rPr>
          <w:rFonts w:ascii="David" w:hAnsi="David"/>
          <w:b/>
          <w:b/>
          <w:bCs/>
          <w:rtl w:val="true"/>
        </w:rPr>
        <w:t>יתרה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בשל החומרה היתרה שבעבירות אלו והסיכון הגבוה שיש בהן לשלום הציבור ניתן משקל רב יותר לאינטרס הציבורי ולשיקולי ההרתעה מאשר לנסיבותיו האישיות של הנאשם </w:t>
      </w:r>
      <w:r>
        <w:rPr>
          <w:rFonts w:cs="David" w:ascii="David" w:hAnsi="David"/>
          <w:b/>
          <w:bCs/>
          <w:rtl w:val="true"/>
        </w:rPr>
        <w:t xml:space="preserve">(...). </w:t>
      </w:r>
      <w:r>
        <w:rPr>
          <w:rFonts w:ascii="David" w:hAnsi="David"/>
          <w:b/>
          <w:b/>
          <w:bCs/>
          <w:rtl w:val="true"/>
        </w:rPr>
        <w:t xml:space="preserve">גישה מחמירה זו מיושמת גם במקרים שבהם נרכש הנשק למטרת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הגנה עצמית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מתוך הבנה כי זמינות נשק בלתי חוקי מעודדת שימוש בו לביצוע עבירות ונושאת עמה פוטנציאל גבוה לפגיעה ממשית וקשה בביטחון הציבור ובשלומו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 xml:space="preserve">וכן ראו בעניין זה דברי בית המשפט העליון </w:t>
      </w:r>
      <w:r>
        <w:rPr>
          <w:rFonts w:ascii="David" w:hAnsi="David"/>
          <w:b/>
          <w:b/>
          <w:bCs/>
          <w:rtl w:val="true"/>
        </w:rPr>
        <w:t>בעניין 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426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מדיניות זו באה לידי ביטוי בשורה ארוכה של פסקי 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השופט מ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מזוז הטיב לתארה בעניין סובח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במילים אלו</w:t>
      </w:r>
      <w:r>
        <w:rPr>
          <w:rFonts w:cs="David" w:ascii="David" w:hAnsi="David"/>
          <w:b/>
          <w:bCs/>
          <w:rtl w:val="true"/>
        </w:rPr>
        <w:t>: '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הנוהגת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במקרים דומים הוטלו על נאשמים עונשים במנעד רחב כפי שיפורט 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6047/20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18.11.2020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בית המשפט העליון קיבל את ערעורו של נאשם שהורשע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הודאתו בעבירה של נשיאה והובלה של נשק ללא רשות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רכב על אופנוע כשהוא נושא אקדח חצי אוטומטי מסוג ברטה עם כדור אחד ומשתיק 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ביקשו במסגרת הסדר טיעון להשית על הנאשם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והפעלת מאסר מותנה חלקו במצטבר כך שירצה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דחה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מתחם עונש הולם אשר נע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הקל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בהסכמת הצדדים והטיל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בנוסף להפעלת המאסר המותנה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בסך הכל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18.07.2019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נדחה ערעורו של נאשם שהורשע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הודאתו בעבירה של נשיאת נשק 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רכש אקדח גנוב מתוצרת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בתמורה כספית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12-40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נדחה ערעורו של נאשם שהורשע בעבירה של נשיאת נשק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כשנשא עמו 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טעון במחסנית שהכילה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אשר נע בין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והושת על 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4215/18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טיב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08.07.2018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נדחה ערעורו של נאשם שהורשע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הודאתו בעבירה של נשיאת נשק ותחמושת לפי 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ששהה בסמטה סמוכה לחצר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טעון בארבעה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צירף עוד שני תיקים של החזקת 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שלחובתו הרשעה קודמת אחד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08.03.2017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בית המשפט העליון קיבל את ערעורה של המדינה על קולת העונש שהושת על הנאשם שהורשע בעבירה של החזקה ונשיאת נשק מסוג תת מקלע מאולתר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2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עונשו של הנאשם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שנגזרו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52416-06-20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מתאני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12.01.2021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הורשע נאשם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הודאתו בעבירה של נשיאת נשק ותחמושת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עליו אקדח שהיה טעון במחסנית וכדורים תואמים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מוסתר במכנסיו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אשר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הרשעה קודמת אחת בתחום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ראו גם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44381-05-20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סאלח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27.10.2020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68389-07-20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אלדי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23.02.2021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לעונש שנקבע בצידה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שנפגעו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העבירות ומדיניות הענישה הנהוגה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לאמץ מתחם ענישה התואם את דרגת החומרה של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ברף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בנסיבות העניין נע בין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של מאסר מותנה וקנס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u w:val="single"/>
          <w:rtl w:val="true"/>
        </w:rPr>
        <w:t>העונש המתאים לנאשם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בקביעת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המתחם או בסטייה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שאינן קשורות בביצוע העבירה ובכלל זה בנסיבותיו של הנאשם ובסיכויי שיוקמו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מאחר ועל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טיעוני הצדדים לא עולה שאלת שיקומו של הנאשם על הפרק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 ולא קיימים שיקולים אשר מצדיקים חריגה מהמתחם לחומרה או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אקבע עונשו של הנאשם בתוך המתחם שנקבע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 אב לילדה בת שנה ואשתו בהיריון מתקדם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ומתסקיר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לאירוע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הנאשם אורח חיים נורמטיבי והיה המפרנס העיקרי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החל לעבוד מגיל צעיר ודאג לפרנסת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מכאן נראה כי הטלת מאסר ממושך עשויה לפוגע אף 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נתתי דעתי למסמכים הרפואיים שהובאו בפניי מהם עולה כי רעייתו של הנאשם נמצאת במעקב נוירולוגי לאור מצבה הרפואי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הביע חרטה וצער על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שבפני שירות המבחן </w:t>
      </w:r>
      <w:r>
        <w:rPr>
          <w:rFonts w:ascii="David" w:hAnsi="David"/>
          <w:rtl w:val="true"/>
        </w:rPr>
        <w:t>לקח אחריות חלקית ופורמאלית לביצוע העבירה ונטה לצמצמם את מעשיו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יש ליתן משקל לקולה לעובדה כי הנאשם שוהה מאז יום </w:t>
      </w:r>
      <w:r>
        <w:rPr>
          <w:rFonts w:cs="David" w:ascii="David" w:hAnsi="David"/>
        </w:rPr>
        <w:t>07.12.2020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 מעצר באיזוק אלקטרוני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באיזון הראוי בין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באיזון בין 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ובשים לב לכך כי </w:t>
      </w:r>
      <w:r>
        <w:rPr>
          <w:rFonts w:ascii="David" w:hAnsi="David"/>
          <w:rtl w:val="true"/>
        </w:rPr>
        <w:t>בבוא בית המשפט לגזור עונש בעבירות נשק יש ליתן משקל יתר לאינטרס הציבורי עליו עמדתי לעיל</w:t>
      </w:r>
      <w:r>
        <w:rPr>
          <w:rFonts w:ascii="David" w:hAnsi="David"/>
          <w:rtl w:val="true"/>
        </w:rPr>
        <w:t xml:space="preserve"> על פני ענייניו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לגזור על הנאשם עונש מאסר בפועל ברף האמצעי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של מאסר מותנה וקנס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14.10.2020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07.12.2020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יתייצב לריצוי מאסרו בבית מעצר קישון ביום </w:t>
      </w:r>
      <w:r>
        <w:rPr>
          <w:rFonts w:cs="David" w:ascii="David" w:hAnsi="David"/>
        </w:rPr>
        <w:t>22.08.2021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לפי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טלפונים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תנאי המעצר באיזוק בהם היה נתון הנאשם עד כה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ימשיכו לחול עד להתייצבותו לתחילת ריצוי עונשו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רשאי הנאשם להגיש בקשה להעתקת מקום המעצר באזוק אלקטרוני וככל שתוגש בקשה היא תישקל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שהנאשם לא יעבור תוך 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עבירת נשק מסוג פשע ויורשע בגינה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שהנאשם לא יעבור תוך 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עבירת נשק מסוג עוון ויורשע 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הקנס ישולם בעשרה תשלומים חודשיים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15.0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.202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ובכל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 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במידה ולא יעמוד הנאשם בחלק מהתשלומים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תעמוד יתרת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ט אב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נאסר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השאן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40536-10-20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אמין סביחאת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case/7807298" TargetMode="External"/><Relationship Id="rId12" Type="http://schemas.openxmlformats.org/officeDocument/2006/relationships/hyperlink" Target="http://www.nevo.co.il/law/70301/40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309272" TargetMode="External"/><Relationship Id="rId15" Type="http://schemas.openxmlformats.org/officeDocument/2006/relationships/hyperlink" Target="http://www.nevo.co.il/case/5724364" TargetMode="External"/><Relationship Id="rId16" Type="http://schemas.openxmlformats.org/officeDocument/2006/relationships/hyperlink" Target="http://www.nevo.co.il/case/27603872" TargetMode="External"/><Relationship Id="rId17" Type="http://schemas.openxmlformats.org/officeDocument/2006/relationships/hyperlink" Target="http://www.nevo.co.il/case/6034921" TargetMode="External"/><Relationship Id="rId18" Type="http://schemas.openxmlformats.org/officeDocument/2006/relationships/hyperlink" Target="http://www.nevo.co.il/case/8291683" TargetMode="External"/><Relationship Id="rId19" Type="http://schemas.openxmlformats.org/officeDocument/2006/relationships/hyperlink" Target="http://www.nevo.co.il/case/26934681" TargetMode="External"/><Relationship Id="rId20" Type="http://schemas.openxmlformats.org/officeDocument/2006/relationships/hyperlink" Target="http://www.nevo.co.il/case/26888657" TargetMode="External"/><Relationship Id="rId21" Type="http://schemas.openxmlformats.org/officeDocument/2006/relationships/hyperlink" Target="http://www.nevo.co.il/case/26964498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case/21474168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case/24263578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case/22006503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6779313" TargetMode="External"/><Relationship Id="rId35" Type="http://schemas.openxmlformats.org/officeDocument/2006/relationships/hyperlink" Target="http://www.nevo.co.il/law/70301/144.b" TargetMode="External"/><Relationship Id="rId36" Type="http://schemas.openxmlformats.org/officeDocument/2006/relationships/hyperlink" Target="http://www.nevo.co.il/case/26686085" TargetMode="External"/><Relationship Id="rId37" Type="http://schemas.openxmlformats.org/officeDocument/2006/relationships/hyperlink" Target="http://www.nevo.co.il/case/26886665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2022-02-23T11:35:00Z</dcterms:created>
  <dc:creator> </dc:creator>
  <dc:description/>
  <cp:keywords/>
  <dc:language>en-IL</dc:language>
  <cp:lastModifiedBy>h1</cp:lastModifiedBy>
  <dcterms:modified xsi:type="dcterms:W3CDTF">2022-02-23T11:35:00Z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אמין סביחאת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7807298;27309272;5724364;27603872;6034921;8291683;26934681;26888657;26964498;25612982;21474168;24263578;22006503;26779313;26686085;26886665</vt:lpwstr>
  </property>
  <property fmtid="{D5CDD505-2E9C-101B-9397-08002B2CF9AE}" pid="9" name="CITY">
    <vt:lpwstr>חי'</vt:lpwstr>
  </property>
  <property fmtid="{D5CDD505-2E9C-101B-9397-08002B2CF9AE}" pid="10" name="DATE">
    <vt:lpwstr>20210728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נאסר ג'השאן</vt:lpwstr>
  </property>
  <property fmtid="{D5CDD505-2E9C-101B-9397-08002B2CF9AE}" pid="14" name="LAWLISTTMP1">
    <vt:lpwstr>70301/144.b:7;040b;040c;144.a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40536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390020210728</vt:lpwstr>
  </property>
  <property fmtid="{D5CDD505-2E9C-101B-9397-08002B2CF9AE}" pid="34" name="TYPE_N_DATE">
    <vt:lpwstr>39020210728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