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40634-03-20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מרעב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ליבסקינד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מרעב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יום </w:t>
      </w:r>
      <w:r>
        <w:rPr>
          <w:rFonts w:cs="Arial" w:ascii="Arial" w:hAnsi="Arial"/>
        </w:rPr>
        <w:t>11.3.20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הנאשם במקום מסתור בביתו 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האחד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 מסוג גלוק אשר בתוך כל אחד מהם מחסנית טעונה בכדורים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החזיק מחסנית נוספת לאקדח הגלוק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שגם היתה טעונה 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בעבירות של החזקת נשק ותחמושת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הרשעת הנאשם באה במסגרתו של הסדר דיוני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 תיקונים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הוסכם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החיפוש נערך ללא 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סמך מידע מודיעיני כי אחיו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המתגורר במרחק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המידע המודיעיני לא כלל מיקום מדויק של בית האח</w:t>
      </w:r>
      <w:r>
        <w:rPr>
          <w:rFonts w:cs="Arial" w:ascii="Arial" w:hAnsi="Arial"/>
          <w:rtl w:val="true"/>
        </w:rPr>
        <w:t>.</w:t>
      </w:r>
      <w:bookmarkStart w:id="9" w:name="ABSTRACT_END"/>
      <w:bookmarkEnd w:id="9"/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שם את הדגש על חומרתן של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הסכנה הטמונה בהן לשלום הציבור ובטחונו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הצורך להרתיע מפני ביצוען ומגמת ההחמרה בפסיקת בית המשפט העליון ביחס לעבירות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אלה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מתחם העונש ההולם את מעשיו של הנאשם הוא מאסר לתקופה שבין שנתיים לשלוש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ובהן עברו הנקי של הנאשם והודאתו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להשית עליו עונש של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לתמיכה בטיעונו 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פסקי דין שונים של בית המשפט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החיפוש שנערך בביתו של הנאשם היה פגום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המידע מודיעיני עליו התבססה המשטרה לא נגע כלל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לשיטתו הדבר מקים טענת הגנה מן הצדק שאמורה להתבטא בהפחתה בעונשו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הפגם בחיפוש אמור להתבטא בקביעת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בקביעת המתחם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הפנה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ובהן העובדה כי אין לחובתו כל מעורבות קודמת בפלילים וכי הנאשם קיבל אחריות למעשיו חרף הפגם בחיפוש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המתחם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רמת הענישה הנוהגת נמוכה בהרבה מזו שהמאשימה טענה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המתחם יכול להתחיל במאסר בעבודות שירות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ולעניין זה הציג מספר פסקי דין וכן טבלה המפרטת עונשים שנגזרו במקרים דומים על ידי מותבים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טיעוניו 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מסמך רפואי הנוגע לאשת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עלה כי החיפוש שנעשה בבית המשפחה גרם לה לפגיעה ממשית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מנת שלא לפגוע בפרטיותה של אשת הנאשם לא ארחיב מעבר לכך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להשית על הנאשם עונש החופף את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לכל היותר תשעה 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ascii="Arial" w:hAnsi="Arial" w:cs="Arial"/>
          <w:rtl w:val="true"/>
        </w:rPr>
        <w:t xml:space="preserve"> בערך המוגן החשוב מכל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שמירה על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נשק מקפלת בתוכה סיכון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הנשק ישמש לביצוע עבירות פליליות או מעשי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יביא לקיפוח 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באופן עקיף עבירה זו גם מהווה קריאת תיגר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המדינה היא הריבון והיא שרשאית לקבוע מי ישא נשק ולאיזו מטרה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כעולה ממיקום העבירה בפרק </w:t>
      </w:r>
      <w:hyperlink r:id="rId6"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הדן בעבירות שעניינן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פגיעה בסדרי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2564/19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איברהים אזברגה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כי עבירות הנשק מצדיקות עונש מאחורי סורג ובריח וזאת גם כאשר מדובר בנאשמים ללא עבר פלילי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566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קיימת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בפסיקה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מגמת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החמרה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ברמת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הענישה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המעורבים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ביטוי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לסכנה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הנשקפת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מהן</w:t>
      </w:r>
      <w:r>
        <w:rPr>
          <w:b/>
          <w:bCs/>
          <w:sz w:val="28"/>
          <w:rtl w:val="true"/>
        </w:rPr>
        <w:t xml:space="preserve">; </w:t>
      </w:r>
      <w:r>
        <w:rPr>
          <w:b/>
          <w:b/>
          <w:bCs/>
          <w:sz w:val="28"/>
          <w:sz w:val="28"/>
          <w:rtl w:val="true"/>
        </w:rPr>
        <w:t>וזאת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במטרה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להרתיע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היחיד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והרבים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יחד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מפני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ביצוען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ברירת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המחדל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היא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אפוא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מאסר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בפועל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הנאשם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נעדר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פלילי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כבענייננו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Arial" w:hAnsi="Arial" w:cs="Arial"/>
          <w:rtl w:val="true"/>
        </w:rPr>
        <w:t>אשר 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אפנה למספר החלטות מהשנים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עניינן 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כולן בתיקים של נאשמים ללא עבר פלילי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</w:rPr>
      </w:pPr>
      <w:r>
        <w:rPr>
          <w:u w:val="single"/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8730/18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24.1.19</w:t>
      </w:r>
      <w:r>
        <w:rPr>
          <w:rtl w:val="true"/>
        </w:rPr>
        <w:t xml:space="preserve">)-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מששה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b/>
          <w:b/>
          <w:bCs/>
          <w:rtl w:val="true"/>
        </w:rPr>
        <w:t>מצויה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>" [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>].</w:t>
      </w:r>
    </w:p>
    <w:p>
      <w:pPr>
        <w:pStyle w:val="Normal"/>
        <w:spacing w:lineRule="auto" w:line="360" w:before="280" w:after="120"/>
        <w:ind w:end="0"/>
        <w:contextualSpacing/>
        <w:jc w:val="both"/>
        <w:rPr/>
      </w:pPr>
      <w:r>
        <w:rPr>
          <w:u w:val="single"/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1246/17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בנבו</w:t>
      </w:r>
      <w:r>
        <w:rPr>
          <w:u w:val="single"/>
          <w:rtl w:val="true"/>
        </w:rPr>
        <w:t xml:space="preserve">, </w:t>
      </w:r>
      <w:r>
        <w:rPr>
          <w:u w:val="single"/>
        </w:rPr>
        <w:t>12.3.2017</w:t>
      </w:r>
      <w:r>
        <w:rPr>
          <w:u w:val="single"/>
          <w:rtl w:val="true"/>
        </w:rPr>
        <w:t>)</w:t>
      </w:r>
      <w:r>
        <w:rPr>
          <w:rtl w:val="true"/>
        </w:rPr>
        <w:t xml:space="preserve">-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120"/>
        <w:ind w:end="0"/>
        <w:contextualSpacing/>
        <w:jc w:val="both"/>
        <w:rPr/>
      </w:pPr>
      <w:r>
        <w:rPr>
          <w:u w:val="single"/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איהבאב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דראז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בנבו</w:t>
      </w:r>
      <w:r>
        <w:rPr>
          <w:u w:val="single"/>
          <w:rtl w:val="true"/>
        </w:rPr>
        <w:t xml:space="preserve">, </w:t>
      </w:r>
      <w:r>
        <w:rPr>
          <w:u w:val="single"/>
        </w:rPr>
        <w:t>13.3.16</w:t>
      </w:r>
      <w:r>
        <w:rPr>
          <w:rtl w:val="true"/>
        </w:rPr>
        <w:t>)-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>.</w:t>
      </w:r>
    </w:p>
    <w:p>
      <w:pPr>
        <w:pStyle w:val="Normal"/>
        <w:spacing w:lineRule="auto" w:line="360" w:before="280" w:after="120"/>
        <w:ind w:end="0"/>
        <w:jc w:val="both"/>
        <w:rPr>
          <w:rFonts w:ascii="David" w:hAnsi="David" w:cs="David"/>
        </w:rPr>
      </w:pPr>
      <w:r>
        <w:rPr>
          <w:u w:val="single"/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56010-03-18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אלאסד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באר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ש</w:t>
      </w:r>
      <w:r>
        <w:rPr>
          <w:u w:val="single"/>
          <w:rtl w:val="true"/>
        </w:rPr>
        <w:t xml:space="preserve">, </w:t>
      </w:r>
      <w:r>
        <w:rPr>
          <w:u w:val="single"/>
        </w:rPr>
        <w:t>27.6.18</w:t>
      </w:r>
      <w:r>
        <w:rPr>
          <w:u w:val="single"/>
          <w:rtl w:val="true"/>
        </w:rPr>
        <w:t>)</w:t>
      </w:r>
      <w:r>
        <w:rPr>
          <w:rtl w:val="true"/>
        </w:rPr>
        <w:t xml:space="preserve">-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rtl w:val="true"/>
          </w:rPr>
          <w:t xml:space="preserve">עפג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ש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56305-02-20</w:t>
      </w:r>
      <w:r>
        <w:rPr>
          <w:rFonts w:cs="David" w:ascii="David" w:hAnsi="David"/>
          <w:rtl w:val="true"/>
        </w:rPr>
        <w:t xml:space="preserve">‏  </w:t>
      </w:r>
      <w:r>
        <w:rPr>
          <w:rFonts w:ascii="David" w:hAnsi="David"/>
          <w:rtl w:val="true"/>
        </w:rPr>
        <w:t xml:space="preserve">אלקריעאן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18.8.20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נדון </w:t>
      </w:r>
      <w:r>
        <w:rPr>
          <w:rFonts w:ascii="David" w:hAnsi="David"/>
          <w:rtl w:val="true"/>
        </w:rPr>
        <w:t>נאשם ללא עבר פלילי שברכבו נמצא אקדח ומחסנית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שלום קבע מתחם של </w:t>
      </w:r>
      <w:r>
        <w:rPr>
          <w:rFonts w:cs="David" w:ascii="David" w:hAnsi="David"/>
        </w:rPr>
        <w:t>15-30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</w:t>
      </w:r>
      <w:r>
        <w:rPr>
          <w:rFonts w:ascii="David" w:hAnsi="David"/>
          <w:rtl w:val="true"/>
        </w:rPr>
        <w:t>הורה על חילוט מכוניתו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</w:t>
      </w:r>
      <w:r>
        <w:rPr>
          <w:rFonts w:ascii="David" w:hAnsi="David"/>
          <w:rtl w:val="true"/>
        </w:rPr>
        <w:t xml:space="preserve">מחוזי הפחית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העונש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rtl w:val="true"/>
          </w:rPr>
          <w:t xml:space="preserve">עפג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חי</w:t>
        </w:r>
        <w:r>
          <w:rPr>
            <w:rStyle w:val="Hyperlink"/>
            <w:rFonts w:cs="David" w:ascii="David" w:hAnsi="David"/>
            <w:rtl w:val="true"/>
          </w:rPr>
          <w:t xml:space="preserve">') </w:t>
        </w:r>
        <w:r>
          <w:rPr>
            <w:rStyle w:val="Hyperlink"/>
            <w:rFonts w:cs="David" w:ascii="David" w:hAnsi="David"/>
          </w:rPr>
          <w:t>23517-02-20</w:t>
        </w:r>
      </w:hyperlink>
      <w:r>
        <w:rPr>
          <w:rFonts w:cs="David" w:ascii="David" w:hAnsi="David"/>
          <w:rtl w:val="true"/>
        </w:rPr>
        <w:t xml:space="preserve">‏ ‏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זיד אחמד זיד אלכילאני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28.7.20</w:t>
      </w:r>
      <w:r>
        <w:rPr>
          <w:rFonts w:cs="David" w:ascii="David" w:hAnsi="David"/>
          <w:rtl w:val="true"/>
        </w:rPr>
        <w:t>) 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עניינו של נאשם </w:t>
      </w:r>
      <w:r>
        <w:rPr>
          <w:rFonts w:ascii="David" w:hAnsi="David"/>
          <w:rtl w:val="true"/>
        </w:rPr>
        <w:t>שהחזיק בביתו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</w:t>
      </w:r>
      <w:r>
        <w:rPr>
          <w:rFonts w:ascii="David" w:hAnsi="David"/>
          <w:rtl w:val="true"/>
        </w:rPr>
        <w:t xml:space="preserve"> השלום קבע מתחם של </w:t>
      </w:r>
      <w:r>
        <w:rPr>
          <w:rFonts w:cs="David" w:ascii="David" w:hAnsi="David"/>
        </w:rPr>
        <w:t>6-15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</w:t>
      </w:r>
      <w:r>
        <w:rPr>
          <w:rFonts w:ascii="David" w:hAnsi="David"/>
          <w:rtl w:val="true"/>
        </w:rPr>
        <w:t xml:space="preserve">על הנאשם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 xml:space="preserve">המחוזי קבע כי תחילת המתחם בעבירות נשק עולה על </w:t>
      </w:r>
      <w:r>
        <w:rPr>
          <w:rFonts w:ascii="David" w:hAnsi="David"/>
          <w:rtl w:val="true"/>
        </w:rPr>
        <w:t xml:space="preserve">תשעה </w:t>
      </w:r>
      <w:r>
        <w:rPr>
          <w:rFonts w:ascii="David" w:hAnsi="David"/>
          <w:rtl w:val="true"/>
        </w:rPr>
        <w:t xml:space="preserve">חודשים </w:t>
      </w:r>
      <w:r>
        <w:rPr>
          <w:rFonts w:ascii="David" w:hAnsi="David"/>
          <w:rtl w:val="true"/>
        </w:rPr>
        <w:t>ופסק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מגמת החמרה זו ניכרת במיוחד בפסיקה מן התקופה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החמרה אשר באה לידי ביטוי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בכך שהסף התחתון של מתחם הענישה בעבירה של החזקת נשק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כאשר הנאשם נעדר עבר 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עולה על תשעה 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דהיינו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פרק זמן אשר אינו מאפשר ריצוי עונש המאסר על דרך של עבודות שירות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בסופו של יום נגזרו על הנאשם </w:t>
      </w:r>
      <w:r>
        <w:rPr>
          <w:rFonts w:ascii="David" w:hAnsi="David"/>
          <w:rtl w:val="true"/>
        </w:rPr>
        <w:t xml:space="preserve">עשרה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למצוא גם פסיקה מחמירה או מקלה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שהפנו באי כח שני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המקרים אותם סקרתי משקפים את הקו המרכזי הנוהג בפסיקה ועליהם אסתמך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מתחם העונש אינו מתחיל בגזרי הדין המקלים יותר ואינו מסתיים בגזרי הדין המחמירים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מתחם העונש הוא קביעה ערכית של בית המשפט בדבר העונש ההולם 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רק שיקוף של רמת ענישה 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ונפסק בעניין זה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רך ואח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לטעות ולזהות בין מתחם העונש ההולם לבין טווח הענישה הנהוג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מדובר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יצורים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שונים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מתחם העונש ההולם מגלם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הכרעה ערכית המבוססת על שיקולים שונים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מדיניות הענישה הנהוגה בעבירה הנדונה הוא רק אחד מהם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טווח הענישה הנהוג בפסיקה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לעומת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הוא נתון אמפירי עובדתי המורכב מהעונשים המקובלים בגין עבירה מסוימת בדין הנוהג</w:t>
      </w:r>
      <w:r>
        <w:rPr>
          <w:rFonts w:cs="Arial" w:ascii="Arial" w:hAnsi="Arial"/>
          <w:b/>
          <w:bCs/>
          <w:rtl w:val="true"/>
        </w:rPr>
        <w:t xml:space="preserve">." 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בקביעת מתחם העונש אביא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מלבד חומרת העבירה ורמת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את העובדה שהנאשם החזיק 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נתון אשר מהווה נסיבה מחמירה ביחס למקרים אותם סקרתי למטה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את המעשים בהם הורשע הנאשם הוא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לתקופה שבין אחד עשר חודשים 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נתונים אשר אינם קשורים לעבירה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1995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לחובתו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מטיעוני בא כוחו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מתקיימים בעניינו נתונים אישיים יוצאי דופן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המחייבים התייחסות מיוחדת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מכלול הנתונים פועל לזכותו של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מדובר באדם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קיבל אחריות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לפני חרטה אשר התרשמתי מכנותה ואין לחובתו מעורבות קודמת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הנאשם נעצר עד תום ההליכים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מדובר במעורבות ראשונה בפלילים אין ספק כי מדובר בחוויה לא 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ומטלטלת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להשית על הנאשם עונש הנמצא בצידו התחתון של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נתתי דעתי לכך שהחיפוש שבוצע בביתו של הנאשם היה על פי מידע שנגע לאחיו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טענה כי הדבר מהווה פגם בחיפוש היורד לשורשו של 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ולטעמי גם לא מדובר בפגם המצדיק הפחתה בעונש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בפסיקה אחיזה לטענה שפגם בחיפוש אשר אינו מביא לפסילתה של ראיה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יכול להביא להפחתה בעונש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למשל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482/20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 שגם 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אופן ביצוע החיפוש אמור להתבטא בקביעת העונש בתוך המתחם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וכך גם עלה מ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וממילא בשל נסיבותיו האישיות של הנאשם בדעתי למקמו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צורך להכריע בשאלת השפעת הפגם האמור על עונשו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זאת 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צרמה לי הטענה המשתמעת מהמסמך הרפואי של אשת הנאשם שהוגש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כאילו החיפוש גרם לאשת הנאשם לטראומה ולתוצאות לוואי שפורטו במסמך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אין לפני כל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מקל וחומר אין ראיה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החיפוש בוצע באופן לא הולם או כוחני וגרם לפגיעה במי מבני משפחת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היה להבין את הטרוניה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היה החיפוש מסתיים ללא כל ממצא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לה מקום כאשר בחיפוש נמצאו שני אקדחים טעונים מוסתרים בבית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 שביקש הנאשם למנוע מבני משפחתו את חוסר הנעימות הכרוך בחיפוש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היה לצפות ממנו שלא יסתיר בחדר האמבטיה של ביתו שני אקדחים טעונים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11.3.20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אלול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40634-03-20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מרעב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55322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hC" TargetMode="External"/><Relationship Id="rId6" Type="http://schemas.openxmlformats.org/officeDocument/2006/relationships/hyperlink" Target="http://www.nevo.co.il/law/70301/h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1474168" TargetMode="External"/><Relationship Id="rId9" Type="http://schemas.openxmlformats.org/officeDocument/2006/relationships/hyperlink" Target="http://www.nevo.co.il/case/25612982" TargetMode="External"/><Relationship Id="rId10" Type="http://schemas.openxmlformats.org/officeDocument/2006/relationships/hyperlink" Target="http://www.nevo.co.il/case/25217995" TargetMode="External"/><Relationship Id="rId11" Type="http://schemas.openxmlformats.org/officeDocument/2006/relationships/hyperlink" Target="http://www.nevo.co.il/case/22228298" TargetMode="External"/><Relationship Id="rId12" Type="http://schemas.openxmlformats.org/officeDocument/2006/relationships/hyperlink" Target="http://www.nevo.co.il/case/20817891" TargetMode="External"/><Relationship Id="rId13" Type="http://schemas.openxmlformats.org/officeDocument/2006/relationships/hyperlink" Target="http://www.nevo.co.il/case/23817589" TargetMode="External"/><Relationship Id="rId14" Type="http://schemas.openxmlformats.org/officeDocument/2006/relationships/hyperlink" Target="https://www.nevo.co.il/psika_html/mechozi/ME-20-02-56305-208.htm" TargetMode="External"/><Relationship Id="rId15" Type="http://schemas.openxmlformats.org/officeDocument/2006/relationships/hyperlink" Target="https://www.nevo.co.il/psika_html/mechozi/ME-20-02-23517-773.htm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26375569" TargetMode="External"/><Relationship Id="rId18" Type="http://schemas.openxmlformats.org/officeDocument/2006/relationships/hyperlink" Target="http://www.nevo.co.il/case/26375569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2022-07-11T11:09:00Z</dcterms:created>
  <dc:creator> </dc:creator>
  <dc:description/>
  <cp:keywords/>
  <dc:language>en-IL</dc:language>
  <cp:lastModifiedBy>h1</cp:lastModifiedBy>
  <dcterms:modified xsi:type="dcterms:W3CDTF">2022-07-11T11:09:00Z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מרעב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26553228;21474168;25612982;25217995;22228298;20817891;23817589;6473037;26375569:2</vt:lpwstr>
  </property>
  <property fmtid="{D5CDD505-2E9C-101B-9397-08002B2CF9AE}" pid="9" name="CITY">
    <vt:lpwstr>י-ם</vt:lpwstr>
  </property>
  <property fmtid="{D5CDD505-2E9C-101B-9397-08002B2CF9AE}" pid="10" name="DATE">
    <vt:lpwstr>20200915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LISTTMP1">
    <vt:lpwstr>70301/hC;144:2</vt:lpwstr>
  </property>
  <property fmtid="{D5CDD505-2E9C-101B-9397-08002B2CF9AE}" pid="15" name="LAWYER">
    <vt:lpwstr>בני ליבסקינד;יהודה שושן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40634</vt:lpwstr>
  </property>
  <property fmtid="{D5CDD505-2E9C-101B-9397-08002B2CF9AE}" pid="22" name="NEWPARTB">
    <vt:lpwstr>03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380020200915</vt:lpwstr>
  </property>
  <property fmtid="{D5CDD505-2E9C-101B-9397-08002B2CF9AE}" pid="34" name="TYPE_N_DATE">
    <vt:lpwstr>38020200915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