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40834-09-15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קונדוס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צחי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הבדלי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חאפז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קונדוס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eastAsia="FrankRuehl" w:cs="FrankRuehl" w:ascii="FrankRuehl" w:hAnsi="FrankRuehl"/>
                <w:sz w:val="28"/>
                <w:szCs w:val="28"/>
                <w:rtl w:val="true"/>
              </w:rPr>
              <w:t>–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נמיר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אדלבי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21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פתח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דבר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bookmarkStart w:id="8" w:name="ABSTRACT_START"/>
      <w:bookmarkEnd w:id="8"/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הודאתו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הבאות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רישא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תשל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ז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1977</w:t>
      </w:r>
      <w:r>
        <w:rPr>
          <w:rFonts w:cs="Calibri" w:ascii="Calibri" w:hAnsi="Calibri"/>
          <w:sz w:val="26"/>
          <w:szCs w:val="26"/>
          <w:rtl w:val="true"/>
        </w:rPr>
        <w:t xml:space="preserve"> (</w:t>
      </w:r>
      <w:r>
        <w:rPr>
          <w:rFonts w:ascii="Calibri" w:hAnsi="Calibri" w:cs="Calibri"/>
          <w:sz w:val="26"/>
          <w:sz w:val="26"/>
          <w:szCs w:val="26"/>
          <w:rtl w:val="true"/>
        </w:rPr>
        <w:t>להלן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cs="Calibri" w:ascii="Calibri" w:hAnsi="Calibri"/>
          <w:sz w:val="26"/>
          <w:szCs w:val="26"/>
          <w:rtl w:val="true"/>
        </w:rPr>
        <w:t xml:space="preserve">); </w:t>
      </w:r>
      <w:r>
        <w:rPr>
          <w:rFonts w:ascii="Calibri" w:hAnsi="Calibri" w:cs="Calibri"/>
          <w:sz w:val="26"/>
          <w:sz w:val="26"/>
          <w:szCs w:val="26"/>
          <w:rtl w:val="true"/>
        </w:rPr>
        <w:t>נשיאת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רישא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איומים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עוינות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ציבור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השתייכות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דתית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192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פזיזות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ורשלנות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בחומר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נפיץ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338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)+(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5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נהיגה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רישיון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תקף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3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10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38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sz w:val="26"/>
          <w:szCs w:val="26"/>
          <w:rtl w:val="true"/>
        </w:rPr>
        <w:t>-</w:t>
      </w:r>
      <w:hyperlink r:id="rId25"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62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26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התעבורה</w:t>
        </w:r>
      </w:hyperlink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[</w:t>
      </w:r>
      <w:r>
        <w:rPr>
          <w:rFonts w:ascii="Calibri" w:hAnsi="Calibri" w:cs="Calibri"/>
          <w:sz w:val="26"/>
          <w:sz w:val="26"/>
          <w:szCs w:val="26"/>
          <w:rtl w:val="true"/>
        </w:rPr>
        <w:t>נוסח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חדש</w:t>
      </w:r>
      <w:r>
        <w:rPr>
          <w:rFonts w:cs="Calibri" w:ascii="Calibri" w:hAnsi="Calibri"/>
          <w:sz w:val="26"/>
          <w:szCs w:val="26"/>
          <w:rtl w:val="true"/>
        </w:rPr>
        <w:t xml:space="preserve">]; </w:t>
      </w:r>
      <w:r>
        <w:rPr>
          <w:rFonts w:ascii="Calibri" w:hAnsi="Calibri" w:cs="Calibri"/>
          <w:sz w:val="26"/>
          <w:sz w:val="26"/>
          <w:szCs w:val="26"/>
          <w:rtl w:val="true"/>
        </w:rPr>
        <w:t>ונהיגה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בחוסר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גרימת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לרכוש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תקנה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21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)+(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תקנות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התעבורה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תשכ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א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1961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האישום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עובדות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01.09.2015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קיבל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לחזקתו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רימון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והחזיקו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ברשותו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01.09.2015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כשהוא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מוחבא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ציבורית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01.09.2015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21:30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קטנוע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לוחיות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רישוי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מוסתרות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מבלי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רישיון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נהיגה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לרח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טולוז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אביב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כשהוא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נושא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רימון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מכוסות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בכפפות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במהלך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הנסיעה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רימון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לשחרר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הנצרה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חצר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הנמצא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ברח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טולוז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16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פועלים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כנסת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וישיבת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המשמשים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חובשי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סרוגות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מטרים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איבד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שיווי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הקטנוע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כתוצאה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מנהיגה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בחוסר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זהירות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פגע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וגרם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נזק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כתוצאה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מאיבוד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השליטה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נפל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מהקטנוע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ונחבל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בסיוע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אזרחים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שנכחו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לרכוב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הקטנוע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ונמלט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המקום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כמתואר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עוינותו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חובשי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סרוגות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בהיותם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להשקפתו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מתנחלים</w:t>
      </w:r>
      <w:r>
        <w:rPr>
          <w:rFonts w:cs="Calibri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Calibri"/>
          <w:sz w:val="26"/>
          <w:sz w:val="26"/>
          <w:szCs w:val="26"/>
          <w:rtl w:val="true"/>
        </w:rPr>
        <w:t>שברצונם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להשתלט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שטחי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הארץ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ומתוך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הישיבה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ולגרום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ולדומיהם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לעזוב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העיר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טענות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הצדדים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הטיעון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עתרו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הצדדים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הנכבדים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להשית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27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פסילת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רישיון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נהיגה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וקנס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והכרעה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משמצא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המחוקק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להוסיף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תיקון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cs="Calibri" w:ascii="Calibri" w:hAnsi="Calibri"/>
          <w:sz w:val="26"/>
          <w:szCs w:val="26"/>
        </w:rPr>
        <w:t>113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מצווה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לפעול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להוראותיו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ולקבוע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תחילה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ההולם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יודגש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קיומו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סגור</w:t>
      </w:r>
      <w:r>
        <w:rPr>
          <w:rFonts w:cs="Calibri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Calibri"/>
          <w:sz w:val="26"/>
          <w:sz w:val="26"/>
          <w:szCs w:val="26"/>
          <w:rtl w:val="true"/>
        </w:rPr>
        <w:t>כבענייננו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הערכאה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הדיונית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מלבחון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הוראות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תיקון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113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160"/>
        <w:ind w:start="509" w:end="709"/>
        <w:jc w:val="both"/>
        <w:rPr>
          <w:rFonts w:ascii="Calibri" w:hAnsi="Calibri" w:cs="Calibri"/>
          <w:b/>
          <w:bCs/>
          <w:sz w:val="26"/>
          <w:szCs w:val="26"/>
        </w:rPr>
      </w:pPr>
      <w:r>
        <w:rPr>
          <w:rFonts w:cs="Calibri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בפסק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שניתן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לאחרונה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בבית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</w:t>
      </w:r>
      <w:hyperlink r:id="rId29">
        <w:r>
          <w:rPr>
            <w:rStyle w:val="Hyperlink"/>
            <w:rFonts w:ascii="Calibri" w:hAnsi="Calibri" w:cs="Calibri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sz w:val="26"/>
            <w:szCs w:val="26"/>
            <w:u w:val="single"/>
          </w:rPr>
          <w:t>512/13</w:t>
        </w:r>
      </w:hyperlink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rtl w:val="true"/>
        </w:rPr>
        <w:t>(</w:t>
      </w:r>
      <w:r>
        <w:rPr>
          <w:rFonts w:cs="Calibri" w:ascii="Calibri" w:hAnsi="Calibri"/>
          <w:b/>
          <w:bCs/>
          <w:sz w:val="26"/>
          <w:szCs w:val="26"/>
        </w:rPr>
        <w:t>4.12.2013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שניתן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גזר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דינו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קמא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בהליך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שבענייננו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נקבע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קיומו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טיעון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המתייחס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לעונשו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קובע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טווח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ובין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קונקרטי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מבטל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תחולת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ההוראות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שנקבעו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התיקון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באותו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נקבע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בהסכמת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הצדדים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לעניין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הראוי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למנוע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מבית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לבחון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המוסכם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המבחנים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הקבועים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בחוק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הוראותיו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בהזדמנות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אציין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פסיקה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מוסכמת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עליי</w:t>
      </w:r>
      <w:r>
        <w:rPr>
          <w:rFonts w:cs="Calibri" w:ascii="Calibri" w:hAnsi="Calibri"/>
          <w:b/>
          <w:bCs/>
          <w:sz w:val="26"/>
          <w:szCs w:val="26"/>
          <w:rtl w:val="true"/>
        </w:rPr>
        <w:t>."</w:t>
      </w:r>
    </w:p>
    <w:p>
      <w:pPr>
        <w:pStyle w:val="Normal"/>
        <w:spacing w:lineRule="auto" w:line="360" w:before="0" w:after="160"/>
        <w:ind w:firstLine="509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  <w:t>(</w:t>
      </w:r>
      <w:hyperlink r:id="rId30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3856/13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גוני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בפסקה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12</w:t>
      </w:r>
      <w:r>
        <w:rPr>
          <w:rFonts w:cs="Calibri" w:ascii="Calibri" w:hAnsi="Calibri"/>
          <w:sz w:val="26"/>
          <w:szCs w:val="26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לעניין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במנותק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הראוי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המתחם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להשוות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המוסכם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צפוי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אלמלא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ההסדר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ולבחון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ההקלה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שניתנה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מאזן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נכונה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האינטרס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ראו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512/13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פורסם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במאגרים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המשפטיים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בפסקה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19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האיזון</w:t>
      </w:r>
      <w:r>
        <w:rPr>
          <w:rFonts w:cs="Calibri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Calibri"/>
          <w:sz w:val="26"/>
          <w:sz w:val="26"/>
          <w:szCs w:val="26"/>
          <w:rtl w:val="true"/>
        </w:rPr>
        <w:t>בהסדרי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2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1958/98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פורסם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במאגרים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המשפטיים</w:t>
      </w:r>
      <w:r>
        <w:rPr>
          <w:rFonts w:cs="Calibri" w:ascii="Calibri" w:hAnsi="Calibri"/>
          <w:sz w:val="26"/>
          <w:szCs w:val="26"/>
          <w:rtl w:val="true"/>
        </w:rPr>
        <w:t>)).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שכבר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קבעתי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עסקינן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סגור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בהנמקה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קביעת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הראוי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להסתפק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באיזון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קצר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השיקולים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המונחים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ביסוד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תמצית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הערכת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המשוער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ראו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24189-04-14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אסט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15.07.2014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בעמ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cs="Calibri" w:ascii="Calibri" w:hAnsi="Calibri"/>
          <w:sz w:val="26"/>
          <w:szCs w:val="26"/>
        </w:rPr>
        <w:t>19-20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והמקורות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המצוינים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שם</w:t>
      </w:r>
      <w:r>
        <w:rPr>
          <w:rFonts w:cs="Calibri" w:ascii="Calibri" w:hAnsi="Calibri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firstLine="142" w:start="226"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.</w:t>
      </w:r>
      <w:r>
        <w:rPr>
          <w:rFonts w:cs="Calibri" w:ascii="Calibri" w:hAnsi="Calibri"/>
          <w:b/>
          <w:bCs/>
          <w:sz w:val="26"/>
          <w:szCs w:val="26"/>
          <w:u w:val="single"/>
        </w:rPr>
        <w:t>1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הערך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החברתי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הנפגע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ומידת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הפגיעה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בו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הערכים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החברתיים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המרכזיים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שנפגעו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כתוצאה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ממעשי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ביטחונו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ושלוות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והציבור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והציבור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המבוצעות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עוינות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פוליטית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</w:rPr>
        <w:t>אידיאולוגית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העניין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מידת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בערכים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המוגנים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גבוהה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start="368"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.</w:t>
      </w:r>
      <w:r>
        <w:rPr>
          <w:rFonts w:cs="Calibri" w:ascii="Calibri" w:hAnsi="Calibri"/>
          <w:b/>
          <w:bCs/>
          <w:sz w:val="26"/>
          <w:szCs w:val="26"/>
          <w:u w:val="single"/>
        </w:rPr>
        <w:t>2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מדיניות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הנוהגת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קשת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רחבה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למדי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למצוא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פסקי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לכאן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ולכאן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start="368"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.</w:t>
      </w:r>
      <w:r>
        <w:rPr>
          <w:rFonts w:cs="Calibri" w:ascii="Calibri" w:hAnsi="Calibri"/>
          <w:b/>
          <w:bCs/>
          <w:sz w:val="26"/>
          <w:szCs w:val="26"/>
          <w:u w:val="single"/>
        </w:rPr>
        <w:t>3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הקשורות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העבירה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בענייננו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עוינות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ציבור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היהודים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חובשי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הכיפות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הסרוגות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הכנסת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והישיבה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ולגרום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ודומיהם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לעזוב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העיר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ועוד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נהג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בחוסר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מורשה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לנהוג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ובנהיגתו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לנזקי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רכוש</w:t>
      </w:r>
      <w:r>
        <w:rPr>
          <w:rFonts w:cs="Calibri" w:ascii="Calibri" w:hAnsi="Calibri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פעולתו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נבעה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והונעה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ממקור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יוקדת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אנשים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חובשי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סרוגות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שהעיזו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מבחינתו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להתיישב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ביפו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לקיים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מצוות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וללמוד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תורה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נטל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והשליכו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ביטא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טינתו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הרושפת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כלפיהם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ביהודים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חובשי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להובילו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לעשות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זריקת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רימון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מטרת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הייתה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הישיבה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הכנסת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שייטלו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מטלטליהם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ויעזבו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יפו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זאת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חשוב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להדגיש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השתמש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טבעו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יכול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להמית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לגרום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לחבלות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בעיקרו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להפחדה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נמנע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מלהוציא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הוציא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נצרת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רימון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השלכתו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החצר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start="368"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.</w:t>
      </w:r>
      <w:r>
        <w:rPr>
          <w:rFonts w:cs="Calibri" w:ascii="Calibri" w:hAnsi="Calibri"/>
          <w:b/>
          <w:bCs/>
          <w:sz w:val="26"/>
          <w:szCs w:val="26"/>
          <w:u w:val="single"/>
        </w:rPr>
        <w:t>4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ההולם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העניין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ההולם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start="368"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.</w:t>
      </w:r>
      <w:r>
        <w:rPr>
          <w:rFonts w:cs="Calibri" w:ascii="Calibri" w:hAnsi="Calibri"/>
          <w:b/>
          <w:bCs/>
          <w:sz w:val="26"/>
          <w:szCs w:val="26"/>
          <w:u w:val="single"/>
        </w:rPr>
        <w:t>5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שאינן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קשורות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העבירה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יליד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1958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נשוי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תושב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אביב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</w:rPr>
        <w:t>יפו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מכביד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ביותר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ביטחוניות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חמורות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בשנת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1985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נדון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צבאי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מחוז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מרכז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17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וחצי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נשיאת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חומר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נפץ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חומרי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לגרום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למוות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ייצור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מגע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חוץ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וגילוי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החלטה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לבגוד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בשנת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1989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נדון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צבאי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מחוז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מרכז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10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במצטבר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למאסרו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הקודם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נשיאת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חומר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נפץ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וחברות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בהתאגדות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בלתי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חוקית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בשנת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1998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נדון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לשנתיים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מתוכם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במצטבר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למאסריו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הקודמים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לבריחה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ממשמורת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חוקית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למעשה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רק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כשנתיים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השתחרר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ממאסרו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שריצה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רצופות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מאחורי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החומות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ועוד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בשנת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1982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נדון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צבאי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מחוז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מרכז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נשיאת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בנוסף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להרשעות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שצוינו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באמתחתו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הרשעות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בערכאות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אזרחיות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אלימות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רכוש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וסמים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1976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תקופות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שיתף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הרשויות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במיוחס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נטל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שכמו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וחסך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שיפוטי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יקר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התלבטתי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הטיעון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הגיעו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הצדדים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מחד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עשיר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ביטחוניות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השתחרר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כשנתיים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ממושך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הרתיע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מלשוב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לסורו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רגשי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עוינותו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ישראלים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מציבורים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מסוימים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מאידך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השתמש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קטלני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מטבעו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מחלוקת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מטרתו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הייתה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להרוג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לפצוע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להפחיד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ולאיים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בלבד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דבר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ששמעתי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טיעוני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הצדדים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ושקלתי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השיקולים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הצריכים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לעניין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מצאתי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הטיעון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מעורר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מוסר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גמול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ומניעת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רעתו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שלימדנו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מסוכנותו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עדיין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ניצב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קוממיות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בגדרות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שהותוו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לעניין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בכלל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ולענישה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הראויה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בענייננו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בפרט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לפיכך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הריני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לאמץ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הטיעון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ולגזור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הבאים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40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מתוכם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27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לריצוי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בניכוי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08.09.2015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היום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והיתרה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יעבור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שחרורו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פיזית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גוף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אדם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פסילת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רישיון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נהיגה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סוגי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הרכב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תקופת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הפסילה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תימנה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שחרורו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ממאסר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קנס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1,000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60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תמורתו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הקנס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ישולם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01.02.2016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זכות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ערעור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tbl>
      <w:tblPr>
        <w:tblpPr w:vertAnchor="text" w:horzAnchor="margin" w:tblpXSpec="left" w:rightFromText="180" w:tblpY="55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18"/>
      </w:tblGrid>
      <w:tr>
        <w:trPr/>
        <w:tc>
          <w:tcPr>
            <w:tcW w:w="27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7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דוד רוזן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דוד רוזן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40834-09-15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חאפז קונדוס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cs="David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פיסקת רשימה1"/>
    <w:basedOn w:val="Normal"/>
    <w:next w:val="ListParagraph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f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338.a.3." TargetMode="External"/><Relationship Id="rId9" Type="http://schemas.openxmlformats.org/officeDocument/2006/relationships/hyperlink" Target="http://www.nevo.co.il/law/70301/338.a.5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law/5227/10.a" TargetMode="External"/><Relationship Id="rId12" Type="http://schemas.openxmlformats.org/officeDocument/2006/relationships/hyperlink" Target="http://www.nevo.co.il/law/5227/38" TargetMode="External"/><Relationship Id="rId13" Type="http://schemas.openxmlformats.org/officeDocument/2006/relationships/hyperlink" Target="http://www.nevo.co.il/law/5227/62" TargetMode="External"/><Relationship Id="rId14" Type="http://schemas.openxmlformats.org/officeDocument/2006/relationships/hyperlink" Target="http://www.nevo.co.il/law/74274" TargetMode="External"/><Relationship Id="rId15" Type="http://schemas.openxmlformats.org/officeDocument/2006/relationships/hyperlink" Target="http://www.nevo.co.il/law/74274/21.b." TargetMode="External"/><Relationship Id="rId16" Type="http://schemas.openxmlformats.org/officeDocument/2006/relationships/hyperlink" Target="http://www.nevo.co.il/law/74274/21.c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192" TargetMode="External"/><Relationship Id="rId21" Type="http://schemas.openxmlformats.org/officeDocument/2006/relationships/hyperlink" Target="http://www.nevo.co.il/law/70301/144f" TargetMode="External"/><Relationship Id="rId22" Type="http://schemas.openxmlformats.org/officeDocument/2006/relationships/hyperlink" Target="http://www.nevo.co.il/law/70301/338.a.3.;338.a.5" TargetMode="External"/><Relationship Id="rId23" Type="http://schemas.openxmlformats.org/officeDocument/2006/relationships/hyperlink" Target="http://www.nevo.co.il/law/5227/10.a" TargetMode="External"/><Relationship Id="rId24" Type="http://schemas.openxmlformats.org/officeDocument/2006/relationships/hyperlink" Target="http://www.nevo.co.il/law/5227/38" TargetMode="External"/><Relationship Id="rId25" Type="http://schemas.openxmlformats.org/officeDocument/2006/relationships/hyperlink" Target="http://www.nevo.co.il/law/5227/62" TargetMode="External"/><Relationship Id="rId26" Type="http://schemas.openxmlformats.org/officeDocument/2006/relationships/hyperlink" Target="http://www.nevo.co.il/law/5227" TargetMode="External"/><Relationship Id="rId27" Type="http://schemas.openxmlformats.org/officeDocument/2006/relationships/hyperlink" Target="http://www.nevo.co.il/law/74274/21.b.;21.c" TargetMode="External"/><Relationship Id="rId28" Type="http://schemas.openxmlformats.org/officeDocument/2006/relationships/hyperlink" Target="http://www.nevo.co.il/law/74274" TargetMode="External"/><Relationship Id="rId29" Type="http://schemas.openxmlformats.org/officeDocument/2006/relationships/hyperlink" Target="http://www.nevo.co.il/case/5569233" TargetMode="External"/><Relationship Id="rId30" Type="http://schemas.openxmlformats.org/officeDocument/2006/relationships/hyperlink" Target="http://www.nevo.co.il/case/7029339" TargetMode="External"/><Relationship Id="rId31" Type="http://schemas.openxmlformats.org/officeDocument/2006/relationships/hyperlink" Target="http://www.nevo.co.il/case/5569233" TargetMode="External"/><Relationship Id="rId32" Type="http://schemas.openxmlformats.org/officeDocument/2006/relationships/hyperlink" Target="http://www.nevo.co.il/case/161892" TargetMode="External"/><Relationship Id="rId33" Type="http://schemas.openxmlformats.org/officeDocument/2006/relationships/hyperlink" Target="http://www.nevo.co.il/case/16876989" TargetMode="External"/><Relationship Id="rId34" Type="http://schemas.openxmlformats.org/officeDocument/2006/relationships/hyperlink" Target="http://www.nevo.co.il/law/70301/144f" TargetMode="External"/><Relationship Id="rId35" Type="http://schemas.openxmlformats.org/officeDocument/2006/relationships/hyperlink" Target="http://www.nevo.co.il/law/70301/144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2016-06-19T08:13:00Z</dcterms:created>
  <dc:creator> </dc:creator>
  <dc:description/>
  <cp:keywords/>
  <dc:language>en-IL</dc:language>
  <cp:lastModifiedBy>run</cp:lastModifiedBy>
  <dcterms:modified xsi:type="dcterms:W3CDTF">2016-06-19T08:13:00Z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חאפז קונדוס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5569233:2;7029339;161892;16876989</vt:lpwstr>
  </property>
  <property fmtid="{D5CDD505-2E9C-101B-9397-08002B2CF9AE}" pid="9" name="CITY">
    <vt:lpwstr>ת"א</vt:lpwstr>
  </property>
  <property fmtid="{D5CDD505-2E9C-101B-9397-08002B2CF9AE}" pid="10" name="DATE">
    <vt:lpwstr>20151227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דוד רוזן</vt:lpwstr>
  </property>
  <property fmtid="{D5CDD505-2E9C-101B-9397-08002B2CF9AE}" pid="14" name="LAWLISTTMP1">
    <vt:lpwstr>70301/144.a;144.b;192;144f:2;338.a.3;338.a.5;144</vt:lpwstr>
  </property>
  <property fmtid="{D5CDD505-2E9C-101B-9397-08002B2CF9AE}" pid="15" name="LAWLISTTMP2">
    <vt:lpwstr>5227/010.a;038;062</vt:lpwstr>
  </property>
  <property fmtid="{D5CDD505-2E9C-101B-9397-08002B2CF9AE}" pid="16" name="LAWLISTTMP3">
    <vt:lpwstr>74274/021.b;021.c</vt:lpwstr>
  </property>
  <property fmtid="{D5CDD505-2E9C-101B-9397-08002B2CF9AE}" pid="17" name="LAWYER">
    <vt:lpwstr>צחי הבדלי;נמיר אדלבי;ישראל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40834</vt:lpwstr>
  </property>
  <property fmtid="{D5CDD505-2E9C-101B-9397-08002B2CF9AE}" pid="24" name="NEWPARTB">
    <vt:lpwstr>09</vt:lpwstr>
  </property>
  <property fmtid="{D5CDD505-2E9C-101B-9397-08002B2CF9AE}" pid="25" name="NEWPARTC">
    <vt:lpwstr>15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390020151227</vt:lpwstr>
  </property>
  <property fmtid="{D5CDD505-2E9C-101B-9397-08002B2CF9AE}" pid="36" name="TYPE_N_DATE">
    <vt:lpwstr>39020151227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