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4088-10-20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גולדברשט 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5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35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Style w:val="TimesNewRomanTimesNewRoman"/>
                <w:b/>
                <w:bCs/>
              </w:rPr>
            </w:pPr>
            <w:r>
              <w:rPr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35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43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גולדברשט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יוספי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ובאני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שימונוב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סוחמי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ליטן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449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10" w:name="PsakDin"/>
      <w:bookmarkEnd w:id="10"/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30"/>
          <w:szCs w:val="30"/>
          <w:u w:val="single"/>
        </w:rPr>
        <w:t>2</w:t>
      </w: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  <w:t>)</w:t>
      </w:r>
    </w:p>
    <w:p>
      <w:pPr>
        <w:pStyle w:val="Normal"/>
        <w:spacing w:lineRule="auto" w:line="360" w:before="240" w:after="240"/>
        <w:ind w:firstLine="360" w:end="0"/>
        <w:jc w:val="start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bookmarkStart w:id="12" w:name="ABSTRACT_END"/>
      <w:bookmarkEnd w:id="12"/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החייל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tl w:val="true"/>
        </w:rPr>
        <w:t xml:space="preserve">,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95X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). 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b/>
          <w:b/>
          <w:bCs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15.9.2020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מוצפנת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טלגרם</w:t>
      </w:r>
      <w:r>
        <w:rPr>
          <w:rtl w:val="true"/>
        </w:rPr>
        <w:t xml:space="preserve">".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החניון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הסליקו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b/>
          <w:b/>
          <w:bCs/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tl w:val="true"/>
        </w:rPr>
        <w:t xml:space="preserve">,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.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כקטין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ומסוכנים</w:t>
      </w:r>
      <w:r>
        <w:rPr>
          <w:rtl w:val="true"/>
        </w:rPr>
        <w:t xml:space="preserve">; </w:t>
      </w:r>
      <w:r>
        <w:rPr>
          <w:rtl w:val="true"/>
        </w:rPr>
        <w:t>וניכרת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הפוגעניות</w:t>
      </w:r>
      <w:r>
        <w:rPr>
          <w:rtl w:val="true"/>
        </w:rPr>
        <w:t xml:space="preserve">.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41443-11-19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שימונוב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222/20</w:t>
      </w:r>
      <w:r>
        <w:rPr>
          <w:rtl w:val="true"/>
        </w:rPr>
        <w:t>) 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ונימקה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;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ופוטנציאלי</w:t>
      </w:r>
      <w:r>
        <w:rPr>
          <w:rtl w:val="true"/>
        </w:rPr>
        <w:t xml:space="preserve">;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b/>
          <w:b/>
          <w:bCs/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הראווה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המתיישבים</w:t>
      </w:r>
      <w:r>
        <w:rPr>
          <w:rtl w:val="true"/>
        </w:rPr>
        <w:t xml:space="preserve">,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tl w:val="true"/>
        </w:rPr>
        <w:t xml:space="preserve">, </w:t>
      </w:r>
      <w:r>
        <w:rPr>
          <w:rtl w:val="true"/>
        </w:rPr>
        <w:t>כשבין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tl w:val="true"/>
        </w:rPr>
        <w:t>" [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(</w:t>
      </w:r>
      <w:r>
        <w:rPr/>
        <w:t>21.2.2012</w:t>
      </w:r>
      <w:r>
        <w:rPr>
          <w:rtl w:val="true"/>
        </w:rPr>
        <w:t xml:space="preserve">)].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;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tl w:val="true"/>
        </w:rPr>
        <w:t xml:space="preserve">;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כל הנוגע לנסיבות 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אין חולק כי יש לראות בהן ככאלה המשקפות חומרה משמעותית הנובעת </w:t>
      </w:r>
      <w:r>
        <w:rPr>
          <w:rFonts w:ascii="David" w:hAnsi="David"/>
          <w:color w:val="000000"/>
          <w:rtl w:val="true"/>
        </w:rPr>
        <w:t>מהתכנון המוקדם וקשירת הקשר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העובדה שלנאשם לא היה כל סכסוך עם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כל שכן היכרות כלשהי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סוג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עצם הובלתו ממקום למקום</w:t>
      </w:r>
      <w:r>
        <w:rPr>
          <w:rFonts w:ascii="David" w:hAnsi="David"/>
          <w:color w:val="000000"/>
          <w:rtl w:val="true"/>
        </w:rPr>
        <w:t xml:space="preserve"> והקלות הבלתי נסבלת בשימוש שנעשה בו בהפרש של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חלקו המשמעותי והדומיננטי של הנאשם בביצוע העבירות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והירי שבוצע פעמיים בלב שכונת מגורים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בטבורה של 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באירוע הראשון בני המשפחה שהו בבית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</w:rPr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חומרתן של עבירות נשק אינה מסתכמת רק במה שאירע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אלא גם במה שעלול היה להתרחש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קרי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בסיכון הפוטנציאלי שהיה טמון בהתנהגות</w:t>
      </w:r>
      <w:r>
        <w:rPr>
          <w:rFonts w:cs="David" w:ascii="David" w:hAnsi="David"/>
          <w:color w:val="000000"/>
          <w:rtl w:val="true"/>
        </w:rPr>
        <w:t>" 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וקנין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31.7.2013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אין חולק כי על אף שהירי כוון לעבר קירות הבית ושמשת החנות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ונועד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לטענת הנאשם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להרתיע 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סיכון ממשי ומוחשי לפגיעה בגוף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בנפש או בחיי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קל וחומר שעה שהוא מבוצע באזור בו נוכחים אנשים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</w:rPr>
      </w:pPr>
      <w:r>
        <w:rPr>
          <w:rtl w:val="true"/>
        </w:rPr>
        <w:t>"</w:t>
      </w:r>
      <w:r>
        <w:rPr>
          <w:b/>
          <w:bCs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>לעיתים מדיניות הענישה הנוהגת ביחס לעבירה מסוימת אינה מספקת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ועל בית המשפט להורות על החמרה בענישה על מנת לקדם ולהגן על הערכים אשר ביסודה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ובכך לבלום את נפיצותן של עבירות מסוימות ההופכות 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", </w:t>
      </w:r>
      <w:r>
        <w:rPr>
          <w:rFonts w:ascii="David" w:hAnsi="David"/>
          <w:b/>
          <w:b/>
          <w:bCs/>
          <w:color w:val="000000"/>
          <w:rtl w:val="true"/>
        </w:rPr>
        <w:t>ולתת ביטוי לחומרה שיש לייחס להן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b/>
          <w:bCs/>
          <w:rtl w:val="true"/>
        </w:rPr>
        <w:t xml:space="preserve">.. </w:t>
      </w:r>
      <w:r>
        <w:rPr>
          <w:rFonts w:ascii="David" w:hAnsi="David"/>
          <w:b/>
          <w:b/>
          <w:bCs/>
          <w:color w:val="000000"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 למשל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דו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ח מבקר המדינה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Miriam" w:hAnsi="Miriam" w:cs="Miriam"/>
          <w:b/>
          <w:b/>
          <w:bCs/>
          <w:color w:val="000000"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28</w:t>
      </w:r>
      <w:r>
        <w:rPr>
          <w:rFonts w:cs="David" w:ascii="David" w:hAnsi="David"/>
          <w:b/>
          <w:bCs/>
          <w:color w:val="000000"/>
          <w:rtl w:val="true"/>
        </w:rPr>
        <w:t xml:space="preserve"> (</w:t>
      </w:r>
      <w:r>
        <w:rPr>
          <w:rFonts w:cs="David" w:ascii="David" w:hAnsi="David"/>
          <w:b/>
          <w:bCs/>
          <w:color w:val="000000"/>
        </w:rPr>
        <w:t>2018</w:t>
      </w:r>
      <w:r>
        <w:rPr>
          <w:rFonts w:cs="David" w:ascii="David" w:hAnsi="David"/>
          <w:b/>
          <w:bCs/>
          <w:color w:val="000000"/>
          <w:rtl w:val="true"/>
        </w:rPr>
        <w:t xml:space="preserve">)). </w:t>
      </w:r>
      <w:r>
        <w:rPr>
          <w:rFonts w:ascii="David" w:hAnsi="David"/>
          <w:b/>
          <w:b/>
          <w:bCs/>
          <w:color w:val="000000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אנו עדים לקריאה ציבורית נרגשת להגברת האכיפה כלפי עבירות נשק 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ולהחמרה במדיניות הענישה הנוהגת</w:t>
      </w:r>
      <w:r>
        <w:rPr>
          <w:rFonts w:cs="David" w:ascii="David" w:hAnsi="David"/>
          <w:color w:val="000000"/>
          <w:rtl w:val="true"/>
        </w:rPr>
        <w:t>" [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5.11.2019</w:t>
      </w:r>
      <w:r>
        <w:rPr>
          <w:rFonts w:cs="David" w:ascii="David" w:hAnsi="David"/>
          <w:color w:val="000000"/>
          <w:rtl w:val="true"/>
        </w:rPr>
        <w:t>) (</w:t>
      </w:r>
      <w:r>
        <w:rPr>
          <w:rFonts w:ascii="David" w:hAnsi="David"/>
          <w:color w:val="000000"/>
          <w:rtl w:val="true"/>
        </w:rPr>
        <w:t xml:space="preserve">ההדגשה במקור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>)]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 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1427/21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שוויקי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על יסוד הודאתו במסגרת הסדר טיעון ב</w:t>
      </w:r>
      <w:r>
        <w:rPr>
          <w:rFonts w:ascii="David" w:hAnsi="David"/>
          <w:rtl w:val="true"/>
        </w:rPr>
        <w:t xml:space="preserve">עובדות </w:t>
      </w:r>
      <w:r>
        <w:rPr>
          <w:rFonts w:ascii="David" w:hAnsi="David"/>
          <w:rtl w:val="true"/>
        </w:rPr>
        <w:t>כתב אישום מתוקן בעבירות של נשיאת נשק 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שהחזיק בביתו נשק דמוי 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ובמהלך התקהלות על רקע סכסוך שהתגלע בין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מביתו כשהוא נושא עמו את הנשק ובו מחסנית טעונה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למקום ההתקהלות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ירה באוויר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ונמלט מן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שנע בין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9014/20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רבאן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10.3.21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המערער הורשע על יסוד הודאתו בעובדות כתב אישום מתוקן במסגרת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סדר טיעון בעבירות של החזקה ונשיאת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 באזור מגורים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שב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מקרים ביצע ירי לעבר ביתם של אנשים </w:t>
      </w:r>
      <w:r>
        <w:rPr>
          <w:rFonts w:ascii="David" w:hAnsi="David"/>
          <w:rtl w:val="true"/>
        </w:rPr>
        <w:t xml:space="preserve">עמם היה מסוכסך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 אותם אנשים ירו קודם לעבר בית משפחתו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שנע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8.3.2018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על יסוד הודאתו בעובדות כתב אישום מתוקן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שאיים על אחות המתלונן שיפגע בה </w:t>
      </w:r>
      <w:r>
        <w:rPr>
          <w:rFonts w:ascii="David" w:hAnsi="David"/>
          <w:rtl w:val="true"/>
        </w:rPr>
        <w:t>על רקע</w:t>
      </w:r>
      <w:r>
        <w:rPr>
          <w:rFonts w:ascii="David" w:hAnsi="David"/>
          <w:rtl w:val="true"/>
        </w:rPr>
        <w:t xml:space="preserve"> סכסוך שנתגלע בינה ובין אחות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ובסמוך לכך ירה כדורים לעבר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כשהאחרון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במ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פסת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להפחידו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ונמלט מן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שנע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העליון על חומרת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23.1.2013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השפעת עונשו של החייל על מתחם הענישה שייקבע בעניינו של נאשם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מוצפנת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: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"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כתובתו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ההתרחשות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שיקלול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"),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התוספת</w:t>
      </w:r>
      <w:r>
        <w:rPr>
          <w:rtl w:val="true"/>
        </w:rPr>
        <w:t xml:space="preserve">"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התוספת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tl w:val="true"/>
        </w:rPr>
        <w:t xml:space="preserve">,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והופסק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עדיין מדובר בהתרחשות חמורה בפני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שככל שהייתה עומדת לבדה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הייתה מצדיקה קביעת מתחם שהרף התחתון שלו חמור משמעותית מאותה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תוספת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על יסוד כלל הנתונים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ראיתי לקבוע </w:t>
      </w:r>
      <w:r>
        <w:rPr>
          <w:rFonts w:ascii="David" w:hAnsi="David"/>
          <w:b/>
          <w:b/>
          <w:bCs/>
          <w:rtl w:val="true"/>
        </w:rPr>
        <w:t>מתחם עונש הולם הנע 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34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זקפתי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ציבור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)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אינני סבור כי יש ליתן לנתון זה משקל </w:t>
      </w:r>
      <w:r>
        <w:rPr>
          <w:rFonts w:ascii="David" w:hAnsi="David"/>
          <w:color w:val="000000"/>
          <w:rtl w:val="true"/>
        </w:rPr>
        <w:t>כלשהו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 לקוות כי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רק בן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ישכיל לערוך שינוי בחייו וישתלב בהליכי שיקום במסגרת ריצוי עונשו בבית הסוהר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Fonts w:ascii="David" w:hAnsi="David"/>
          <w:color w:val="000000"/>
          <w:rtl w:val="true"/>
        </w:rPr>
        <w:t xml:space="preserve">בהתייחס למאסר המותנה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ראיתי להורות על הפעלת רובו בחופף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בהינתן העובדה כי מחמת שגגה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 קיומו נעלם מעיני הצדדים בעת הטיעונים לעונש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והיה זה בית המשפט שהסב את תשומת ליבם לקיומו</w:t>
      </w:r>
      <w:r>
        <w:rPr>
          <w:rFonts w:cs="David" w:ascii="David" w:hAnsi="David"/>
          <w:color w:val="000000"/>
          <w:rtl w:val="true"/>
        </w:rPr>
        <w:t xml:space="preserve">.   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u w:val="single"/>
          <w:rtl w:val="true"/>
        </w:rPr>
        <w:t>סוף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/>
        <w:jc w:val="both"/>
        <w:rPr/>
      </w:pP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spacing w:lineRule="auto" w:line="360" w:before="240" w:after="240"/>
        <w:ind w:hanging="6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41443-11-19</w:t>
        </w:r>
      </w:hyperlink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714" w:end="0"/>
        <w:contextualSpacing w:val="false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18.9.2020</w:t>
      </w:r>
      <w:r>
        <w:rPr>
          <w:b/>
          <w:bCs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/>
        <w:t>,000</w:t>
      </w:r>
      <w:r>
        <w:rPr>
          <w:rtl w:val="true"/>
        </w:rPr>
        <w:t xml:space="preserve"> ₪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1.1.2022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ind w:end="0"/>
        <w:jc w:val="start"/>
        <w:rPr/>
      </w:pPr>
      <w:bookmarkStart w:id="13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אלול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3"/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6"/>
      <w:footerReference w:type="default" r:id="rId27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4088-10-20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רוי אברהם חיים גולדברשט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law/70301/449.a.1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44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340a.b.1" TargetMode="External"/><Relationship Id="rId16" Type="http://schemas.openxmlformats.org/officeDocument/2006/relationships/hyperlink" Target="http://www.nevo.co.il/case/26196030" TargetMode="External"/><Relationship Id="rId17" Type="http://schemas.openxmlformats.org/officeDocument/2006/relationships/hyperlink" Target="http://www.nevo.co.il/case/5878682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7436592" TargetMode="External"/><Relationship Id="rId21" Type="http://schemas.openxmlformats.org/officeDocument/2006/relationships/hyperlink" Target="http://www.nevo.co.il/case/27263841" TargetMode="External"/><Relationship Id="rId22" Type="http://schemas.openxmlformats.org/officeDocument/2006/relationships/hyperlink" Target="http://www.nevo.co.il/case/23509035" TargetMode="External"/><Relationship Id="rId23" Type="http://schemas.openxmlformats.org/officeDocument/2006/relationships/hyperlink" Target="http://www.nevo.co.il/case/5588206" TargetMode="External"/><Relationship Id="rId24" Type="http://schemas.openxmlformats.org/officeDocument/2006/relationships/hyperlink" Target="http://www.nevo.co.il/case/26196030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2022-11-20T12:26:00Z</dcterms:created>
  <dc:creator> </dc:creator>
  <dc:description/>
  <cp:keywords/>
  <dc:language>en-IL</dc:language>
  <cp:lastModifiedBy>h1</cp:lastModifiedBy>
  <dcterms:modified xsi:type="dcterms:W3CDTF">2022-11-20T12:26:00Z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רוי אברהם חיים גולדברשט;ג'ובאני שימונוב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26196030:2;5878682;5568354;25824863;27436592;27263841;23509035;5588206</vt:lpwstr>
  </property>
  <property fmtid="{D5CDD505-2E9C-101B-9397-08002B2CF9AE}" pid="9" name="CITY">
    <vt:lpwstr>ת"א</vt:lpwstr>
  </property>
  <property fmtid="{D5CDD505-2E9C-101B-9397-08002B2CF9AE}" pid="10" name="DATE">
    <vt:lpwstr>20210905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70301/449.a.1;144.a;144.b;192;452;340a.b.1</vt:lpwstr>
  </property>
  <property fmtid="{D5CDD505-2E9C-101B-9397-08002B2CF9AE}" pid="15" name="LAWYER">
    <vt:lpwstr>הרצל יוספי;משה סוחמי;טל ליטן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4088</vt:lpwstr>
  </property>
  <property fmtid="{D5CDD505-2E9C-101B-9397-08002B2CF9AE}" pid="22" name="NEWPARTB">
    <vt:lpwstr>10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390020210905</vt:lpwstr>
  </property>
  <property fmtid="{D5CDD505-2E9C-101B-9397-08002B2CF9AE}" pid="34" name="TYPE_N_DATE">
    <vt:lpwstr>39020210905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