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667"/>
        <w:gridCol w:w="2838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66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40898-11-19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מג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אהד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83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 w:val="2"/>
          <w:szCs w:val="2"/>
        </w:rPr>
      </w:pPr>
      <w:r>
        <w:rPr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499"/>
        <w:gridCol w:w="339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 חנה מרים לומפ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49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יפעת פנחסי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באמצעות פרקליטות מחוז ירושלים 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)</w:t>
            </w:r>
          </w:p>
        </w:tc>
        <w:tc>
          <w:tcPr>
            <w:tcW w:w="3398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49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499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מוחמד מג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אהד 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על ידי ב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ד יוסי זילברברג</w:t>
            </w:r>
          </w:p>
        </w:tc>
        <w:tc>
          <w:tcPr>
            <w:tcW w:w="3398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49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398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'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1973</w:t>
        </w:r>
      </w:hyperlink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  <w:b/>
          <w:bCs/>
          <w:sz w:val="26"/>
          <w:szCs w:val="26"/>
        </w:rPr>
      </w:pPr>
      <w:r>
        <w:rPr>
          <w:rFonts w:cs="David" w:ascii="David" w:hAnsi="David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12"/>
          <w:szCs w:val="12"/>
        </w:rPr>
      </w:pPr>
      <w:r>
        <w:rPr>
          <w:rFonts w:cs="Arial" w:ascii="Arial" w:hAnsi="Arial"/>
          <w:sz w:val="12"/>
          <w:szCs w:val="12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רקע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אביזרי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").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>
          <w:b/>
          <w:bCs/>
          <w:u w:val="single"/>
        </w:rPr>
      </w:pPr>
      <w:bookmarkStart w:id="9" w:name="ABSTRACT_END"/>
      <w:bookmarkEnd w:id="9"/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29.10.19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15:15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פלטין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tl w:val="true"/>
        </w:rPr>
        <w:t xml:space="preserve">,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מנטה</w:t>
      </w:r>
      <w:r>
        <w:rPr>
          <w:rtl w:val="true"/>
        </w:rPr>
        <w:t xml:space="preserve">"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לתכולתה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>
          <w:rFonts w:eastAsia="David"/>
        </w:rPr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לחייהם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כחייט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ונורמטיביים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eastAsia="David"/>
          <w:sz w:val="12"/>
          <w:szCs w:val="12"/>
        </w:rPr>
      </w:pPr>
      <w:r>
        <w:rPr>
          <w:rFonts w:eastAsia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נמוכים</w:t>
      </w:r>
      <w:r>
        <w:rPr>
          <w:rtl w:val="true"/>
        </w:rPr>
        <w:t xml:space="preserve">.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אביגדור</w:t>
      </w:r>
      <w:r>
        <w:rPr>
          <w:rtl w:val="true"/>
        </w:rPr>
        <w:t xml:space="preserve">" </w:t>
      </w:r>
      <w:r>
        <w:rPr>
          <w:rtl w:val="true"/>
        </w:rPr>
        <w:t>בראשון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הופסקה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ללחצים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ומחנך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תעסוקתית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, </w:t>
      </w:r>
      <w:r>
        <w:rPr>
          <w:rtl w:val="true"/>
        </w:rPr>
        <w:t>ומכך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ייתכן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וסולידריות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בהמלצתו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בקשייו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המתפקדים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והנורמטיביים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בזהותו</w:t>
      </w:r>
      <w:r>
        <w:rPr>
          <w:rtl w:val="true"/>
        </w:rPr>
        <w:t xml:space="preserve">,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מושרשים</w:t>
      </w:r>
      <w:r>
        <w:rPr>
          <w:rtl w:val="true"/>
        </w:rPr>
        <w:t xml:space="preserve">.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טענה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כי אין להקל ראש במקרים של שיתוף פעולה עם הפצה ושימוש בנשק בלתי חוקי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 מדובר בתופעה מדאיגה שיש להילחם בה מלחמת חורמה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הוסיפה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מי שנוטל חלק בכל שרשרת ייצור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ייבוא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טמון במעשיו</w:t>
      </w:r>
      <w:r>
        <w:rPr>
          <w:rFonts w:ascii="David" w:hAnsi="David"/>
          <w:rtl w:val="true"/>
        </w:rPr>
        <w:t xml:space="preserve"> פוטנציאל סיכון הרסני לפגיעה בשלום הציבור וביטחונו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וכי י</w:t>
      </w:r>
      <w:r>
        <w:rPr>
          <w:rFonts w:ascii="David" w:hAnsi="David"/>
          <w:rtl w:val="true"/>
        </w:rPr>
        <w:t>שנה סכנה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ascii="David" w:hAnsi="David"/>
          <w:rtl w:val="true"/>
        </w:rPr>
        <w:t>הנשק יתגלגל לידיים ללא פיקוח ויכול אף להגיע לגורמים עוינים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הפנתה לפסיקה המתייחסת להחמרה בענישה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ועמדה על הצורך להחמיר בענישה בעבירות נשק בכלל  והחזקת נשק בפרט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>
          <w:rFonts w:ascii="Calibri" w:hAnsi="Calibri" w:cs="Arial"/>
          <w:sz w:val="12"/>
          <w:szCs w:val="12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Calibri" w:hAnsi="Calibri" w:cs="Arial"/>
          <w:sz w:val="12"/>
          <w:szCs w:val="12"/>
        </w:rPr>
      </w:pPr>
      <w:r>
        <w:rPr>
          <w:rFonts w:cs="Arial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אשר לעונש המתאים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טענה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המאשימה שיש להתחשב </w:t>
      </w:r>
      <w:r>
        <w:rPr>
          <w:rFonts w:ascii="David" w:hAnsi="David"/>
          <w:rtl w:val="true"/>
        </w:rPr>
        <w:t>בכך שה</w:t>
      </w:r>
      <w:r>
        <w:rPr>
          <w:rFonts w:ascii="David" w:hAnsi="David"/>
          <w:rtl w:val="true"/>
        </w:rPr>
        <w:t xml:space="preserve">נאשם </w:t>
      </w:r>
      <w:r>
        <w:rPr>
          <w:rFonts w:ascii="David" w:hAnsi="David"/>
          <w:rtl w:val="true"/>
        </w:rPr>
        <w:t>נעדר</w:t>
      </w:r>
      <w:r>
        <w:rPr>
          <w:rFonts w:ascii="David" w:hAnsi="David"/>
          <w:rtl w:val="true"/>
        </w:rPr>
        <w:t xml:space="preserve"> עבר 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29.10.19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21.1.2020</w:t>
      </w:r>
      <w:r>
        <w:rPr>
          <w:rtl w:val="true"/>
        </w:rPr>
        <w:t xml:space="preserve">. 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המאשימה הדגישה את גורמי הסיכון בעניינו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שעולים מתסקיר שירות המבחן וכן את המניעים שהובילו לביצוע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בסופו של דבר עתרה המאשימה לעונש בתחתית מתחם העונש ההולם וביקשה להטיל עליו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ומאסר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 בניכוי ימי מעצרו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4"/>
          <w:szCs w:val="14"/>
        </w:rPr>
      </w:pPr>
      <w:r>
        <w:rPr>
          <w:rFonts w:cs="David" w:ascii="David" w:hAnsi="David"/>
          <w:sz w:val="14"/>
          <w:szCs w:val="14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ביקש מבית המשפט להסתפק בימי מעצרו של הנאשם ובענישה מותנית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שכן מדובר במי שהיה עצור לחקירה ממושכת במשך כשלושה 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ובעקבות הסדר הטיעון כתב האישום תוקן באופן משמעותי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לקח אחריות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חסך זמן שיפוטי והוא ניהל אורח חיים נורמטיבי טרם מעצרו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 שהה בתנאים מגבילים לתקופה ארוכה וזוהי הסתבכותו היחידה בפלילים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הנאשם בדברו האחרון לקח אחריות 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מסר כי עשה טעות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נשוי ואב לילדים ומעוניין להמשיך לעבוד כמוסכניק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מצא מקום עבודה שיוכל להשתלב בו לאחר שיוסרו התנאים המגבילים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>
          <w:rFonts w:ascii="Calibri" w:hAnsi="Calibri" w:cs="Calibri"/>
        </w:rPr>
      </w:pPr>
      <w:r>
        <w:rPr>
          <w:rFonts w:ascii="Arial" w:hAnsi="Arial" w:cs="Arial"/>
          <w:rtl w:val="true"/>
        </w:rPr>
        <w:t>על</w:t>
      </w:r>
      <w:r>
        <w:rPr>
          <w:rFonts w:ascii="Calibri" w:hAnsi="Calibri" w:cs="Calibri"/>
          <w:rtl w:val="true"/>
        </w:rPr>
        <w:t xml:space="preserve"> פי סעיף </w:t>
      </w:r>
      <w:hyperlink r:id="rId10">
        <w:r>
          <w:rPr>
            <w:rStyle w:val="Hyperlink"/>
            <w:rFonts w:cs="Calibri" w:ascii="Calibri" w:hAnsi="Calibri"/>
          </w:rPr>
          <w:t>40</w:t>
        </w:r>
        <w:r>
          <w:rPr>
            <w:rStyle w:val="Hyperlink"/>
            <w:rFonts w:cs="Calibri" w:ascii="Calibri" w:hAnsi="Calibri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rtl w:val="true"/>
          </w:rPr>
          <w:t>ב</w:t>
        </w:r>
        <w:r>
          <w:rPr>
            <w:rStyle w:val="Hyperlink"/>
            <w:rFonts w:cs="Calibri" w:ascii="Calibri" w:hAnsi="Calibri"/>
            <w:rtl w:val="true"/>
          </w:rPr>
          <w:t>'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העיקרון המנחה בענישה הוא הלימה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קרי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יחס הולם בין חומרת מעשה העבירה ונסיבותיו ומידת אשמו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לבין סוג ומידת העונש המוטל עליו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בקביעת מתחם העונש ההולם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 בית המשפט להתחשב בערך החברתי שנפגע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במידת הפגיעה 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במדיניות הענישה הנהוגה ובנסיבות הקשורות לביצוע העבירה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>
          <w:rFonts w:ascii="Arial" w:hAnsi="Arial" w:eastAsia="David" w:cs="Arial"/>
          <w:sz w:val="10"/>
          <w:szCs w:val="10"/>
        </w:rPr>
      </w:pPr>
      <w:r>
        <w:rPr>
          <w:rFonts w:ascii="Arial" w:hAnsi="Arial" w:cs="Arial"/>
          <w:rtl w:val="true"/>
        </w:rPr>
        <w:t>הערכים החברתיים עליהם יש להגן מפני אלה המבצעים עבירות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הם ההגנה על שלום הציבור וביטחונו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שמירה על שלמות גופו ורכושו של אדם ומניעת פגיעה משמעותית בו כתוצאה משימוש בנשק 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ידי מי שאינו מיומן בכך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העליון חזר פעם אחר פעם על החומרה הגלומה בעבירות נשק ועל פוטנציאל הפגיעה בנפש וברכוש שעלולים להיגרם כתוצאה מהשימוש בו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מוצדק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rFonts w:ascii="Arial" w:hAnsi="Arial" w:eastAsia="David" w:cs="Arial"/>
          <w:sz w:val="10"/>
          <w:szCs w:val="10"/>
        </w:rPr>
      </w:pPr>
      <w:r>
        <w:rPr>
          <w:rFonts w:eastAsia="David" w:cs="Arial" w:ascii="Arial" w:hAnsi="Arial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המגמה להחמיר בענישה בעבירות נשק באה לידי ביטוי בשורה ארוכה של פסקי דין שניתנו על ידי בית משפט 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בין היתר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1323/13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רך חסן  נגד מדינת ישראל</w:t>
      </w:r>
      <w:r>
        <w:rPr>
          <w:rFonts w:ascii="Calibri" w:hAnsi="Calibri" w:cs="Calibri"/>
          <w:rtl w:val="true"/>
        </w:rPr>
        <w:t xml:space="preserve"> 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ניתן ביום </w:t>
      </w:r>
      <w:r>
        <w:rPr>
          <w:rFonts w:cs="Calibri" w:ascii="Calibri" w:hAnsi="Calibri"/>
        </w:rPr>
        <w:t>5.6.13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שם קבעה כבוד השופטת ע</w:t>
      </w:r>
      <w:r>
        <w:rPr>
          <w:rFonts w:cs="Calibri" w:ascii="Calibri" w:hAnsi="Calibri"/>
          <w:rtl w:val="true"/>
        </w:rPr>
        <w:t xml:space="preserve">' </w:t>
      </w:r>
      <w:r>
        <w:rPr>
          <w:rFonts w:ascii="Calibri" w:hAnsi="Calibri" w:cs="Calibri"/>
          <w:rtl w:val="true"/>
        </w:rPr>
        <w:t>ארבל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120" w:after="120"/>
        <w:ind w:start="782" w:end="0"/>
        <w:contextualSpacing/>
        <w:jc w:val="both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  <w:rtl w:val="true"/>
        </w:rPr>
      </w:r>
    </w:p>
    <w:p>
      <w:pPr>
        <w:pStyle w:val="Normal"/>
        <w:spacing w:lineRule="auto" w:line="360" w:before="120" w:after="120"/>
        <w:ind w:start="720" w:end="0"/>
        <w:contextualSpacing/>
        <w:jc w:val="both"/>
        <w:rPr>
          <w:rFonts w:ascii="David" w:hAnsi="David" w:cs="David"/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היקפן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המדאיגה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>, "</w:t>
      </w:r>
      <w:r>
        <w:rPr>
          <w:b/>
          <w:b/>
          <w:bCs/>
          <w:rtl w:val="true"/>
        </w:rPr>
        <w:t>התגלגלותם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להגעתם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לגורמים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ועוינים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בגורלם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הרסניות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יובילו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בסכסוך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בקטטה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מחייבים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בנפש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בהדרגה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120" w:after="120"/>
        <w:ind w:end="0"/>
        <w:contextualSpacing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hyperlink r:id="rId13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מנטה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לתכולתה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שזוהי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בנפש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>או לגרימת נזק היקפי גדול לשלמות הגוף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והוא בעל פוטנציאל קטילה של ממש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מדובר במספר רב של נוקרים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>.</w:t>
      </w:r>
    </w:p>
    <w:p>
      <w:pPr>
        <w:pStyle w:val="Normal"/>
        <w:spacing w:lineRule="auto" w:line="360" w:before="120" w:after="120"/>
        <w:ind w:start="357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>
          <w:rFonts w:eastAsia="David"/>
        </w:rPr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ותלויה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8730/18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מרשה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24.1.19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מדובר על מי שהורשע בבית משפט השלום בהחזקת אקדח יחד עם מחסנית וכדורים תואמים ונגזרו עליו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מאסר בדרך של עבודות שרות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בית המשפט המחוזי קיבל את ערעורה של המדינה על קולת העונש וגזר עליו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הערעור נדחתה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1"/>
          <w:numId w:val="1"/>
        </w:numPr>
        <w:spacing w:lineRule="auto" w:line="360" w:before="120" w:after="120"/>
        <w:ind w:hanging="360" w:start="1440" w:end="0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6294/10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אלקיעאן ואח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נגד 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 (</w:t>
      </w:r>
      <w:r>
        <w:rPr>
          <w:rFonts w:ascii="Arial" w:hAnsi="Arial" w:cs="Arial"/>
          <w:rtl w:val="true"/>
        </w:rPr>
        <w:t xml:space="preserve">ניתן ביום </w:t>
      </w:r>
      <w:r>
        <w:rPr>
          <w:rFonts w:cs="Arial" w:ascii="Arial" w:hAnsi="Arial"/>
        </w:rPr>
        <w:t>13.02.2011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דחה בית המשפט העליון את ערעורם של נאשמים שהורשעו בהחזקת אקדח טעון ומחסנית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בגין מעשים אלו נדונו המערערים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60" w:start="1440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5604/11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 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/>
        <w:t>5.10.11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60" w:start="1440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כוויס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 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/>
        <w:t>25.6.13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FrankRuehl"/>
          <w:sz w:val="12"/>
          <w:szCs w:val="12"/>
        </w:rPr>
      </w:pPr>
      <w:r>
        <w:rPr>
          <w:rFonts w:cs="FrankRuehl" w:ascii="Calibri" w:hAnsi="Calibri"/>
          <w:sz w:val="12"/>
          <w:szCs w:val="12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u w:val="single"/>
        </w:rPr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553-06-14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18.09.14</w:t>
      </w:r>
      <w:r>
        <w:rPr>
          <w:rtl w:val="true"/>
        </w:rPr>
        <w:t xml:space="preserve">)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,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tl w:val="true"/>
        </w:rPr>
        <w:t xml:space="preserve">,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cs="David"/>
          <w:sz w:val="12"/>
          <w:szCs w:val="12"/>
          <w:u w:val="single"/>
        </w:rPr>
      </w:pPr>
      <w:r>
        <w:rPr>
          <w:rFonts w:cs="David"/>
          <w:sz w:val="12"/>
          <w:szCs w:val="12"/>
          <w:u w:val="single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sz w:val="22"/>
        </w:rPr>
      </w:pPr>
      <w:r>
        <w:rPr>
          <w:rFonts w:ascii="David" w:hAnsi="David"/>
          <w:sz w:val="22"/>
          <w:sz w:val="22"/>
          <w:rtl w:val="true"/>
        </w:rPr>
        <w:t>ב</w:t>
      </w:r>
      <w:hyperlink r:id="rId20">
        <w:r>
          <w:rPr>
            <w:rStyle w:val="Hyperlink"/>
            <w:rFonts w:ascii="David" w:hAnsi="David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2"/>
            <w:sz w:val="22"/>
            <w:u w:val="single"/>
            <w:rtl w:val="true"/>
          </w:rPr>
          <w:t>חיפה</w:t>
        </w:r>
        <w:r>
          <w:rPr>
            <w:rStyle w:val="Hyperlink"/>
            <w:rFonts w:cs="David" w:ascii="David" w:hAnsi="David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2"/>
            <w:u w:val="single"/>
          </w:rPr>
          <w:t>4318-10-11</w:t>
        </w:r>
      </w:hyperlink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rtl w:val="true"/>
        </w:rPr>
        <w:t>מדינת ישראל נגד רפאלוב</w:t>
      </w:r>
      <w:r>
        <w:rPr>
          <w:rFonts w:ascii="David" w:hAnsi="David"/>
          <w:sz w:val="22"/>
          <w:sz w:val="22"/>
          <w:rtl w:val="true"/>
        </w:rPr>
        <w:t xml:space="preserve"> </w:t>
      </w:r>
      <w:r>
        <w:rPr>
          <w:rFonts w:cs="David" w:ascii="David" w:hAnsi="David"/>
          <w:sz w:val="22"/>
          <w:rtl w:val="true"/>
        </w:rPr>
        <w:t>(</w:t>
      </w:r>
      <w:r>
        <w:rPr>
          <w:rFonts w:ascii="David" w:hAnsi="David"/>
          <w:sz w:val="22"/>
          <w:sz w:val="22"/>
          <w:rtl w:val="true"/>
        </w:rPr>
        <w:t>פורסם בנבו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cs="David" w:ascii="David" w:hAnsi="David"/>
          <w:sz w:val="22"/>
        </w:rPr>
        <w:t>5.1.12</w:t>
      </w:r>
      <w:r>
        <w:rPr>
          <w:rFonts w:cs="David" w:ascii="David" w:hAnsi="David"/>
          <w:sz w:val="22"/>
          <w:rtl w:val="true"/>
        </w:rPr>
        <w:t xml:space="preserve">) </w:t>
      </w:r>
      <w:r>
        <w:rPr>
          <w:rFonts w:ascii="David" w:hAnsi="David"/>
          <w:sz w:val="22"/>
          <w:sz w:val="22"/>
          <w:rtl w:val="true"/>
        </w:rPr>
        <w:t>הנאשם הורשע בהחזקת נשק</w:t>
      </w:r>
      <w:r>
        <w:rPr>
          <w:rFonts w:cs="David" w:ascii="David" w:hAnsi="David"/>
          <w:sz w:val="22"/>
          <w:rtl w:val="true"/>
        </w:rPr>
        <w:t>,</w:t>
      </w:r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ascii="David" w:hAnsi="David"/>
          <w:sz w:val="22"/>
          <w:sz w:val="22"/>
          <w:rtl w:val="true"/>
        </w:rPr>
        <w:t>בכך שנתפס בחד</w:t>
      </w:r>
      <w:r>
        <w:rPr>
          <w:rFonts w:ascii="David" w:hAnsi="David"/>
          <w:sz w:val="22"/>
          <w:sz w:val="22"/>
          <w:rtl w:val="true"/>
        </w:rPr>
        <w:t>רו</w:t>
      </w:r>
      <w:r>
        <w:rPr>
          <w:rFonts w:ascii="David" w:hAnsi="David"/>
          <w:sz w:val="22"/>
          <w:sz w:val="22"/>
          <w:rtl w:val="true"/>
        </w:rPr>
        <w:t xml:space="preserve"> בתוך ארון בגדים </w:t>
      </w:r>
      <w:r>
        <w:rPr>
          <w:rFonts w:cs="David" w:ascii="David" w:hAnsi="David"/>
          <w:sz w:val="22"/>
        </w:rPr>
        <w:t>4</w:t>
      </w:r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ascii="David" w:hAnsi="David"/>
          <w:sz w:val="22"/>
          <w:sz w:val="22"/>
          <w:rtl w:val="true"/>
        </w:rPr>
        <w:t>לבנות חבלה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ascii="David" w:hAnsi="David"/>
          <w:sz w:val="22"/>
          <w:sz w:val="22"/>
          <w:rtl w:val="true"/>
        </w:rPr>
        <w:t>רימון יד ורימון עשן</w:t>
      </w:r>
      <w:r>
        <w:rPr>
          <w:rFonts w:cs="David" w:ascii="David" w:hAnsi="David"/>
          <w:sz w:val="22"/>
          <w:rtl w:val="true"/>
        </w:rPr>
        <w:t xml:space="preserve">. </w:t>
      </w:r>
      <w:r>
        <w:rPr>
          <w:rFonts w:ascii="David" w:hAnsi="David"/>
          <w:sz w:val="22"/>
          <w:sz w:val="22"/>
          <w:rtl w:val="true"/>
        </w:rPr>
        <w:t>בית משפט השלום</w:t>
      </w:r>
      <w:r>
        <w:rPr>
          <w:rFonts w:ascii="David" w:hAnsi="David"/>
          <w:sz w:val="22"/>
          <w:sz w:val="22"/>
          <w:rtl w:val="true"/>
        </w:rPr>
        <w:t xml:space="preserve"> נתן בכורה לשיקולי שיקום </w:t>
      </w:r>
      <w:r>
        <w:rPr>
          <w:rFonts w:ascii="David" w:hAnsi="David"/>
          <w:sz w:val="22"/>
          <w:sz w:val="22"/>
          <w:rtl w:val="true"/>
        </w:rPr>
        <w:t>והשית על</w:t>
      </w:r>
      <w:r>
        <w:rPr>
          <w:rFonts w:ascii="David" w:hAnsi="David"/>
          <w:sz w:val="22"/>
          <w:sz w:val="22"/>
          <w:rtl w:val="true"/>
        </w:rPr>
        <w:t xml:space="preserve"> הנאשם</w:t>
      </w:r>
      <w:r>
        <w:rPr>
          <w:rFonts w:ascii="David" w:hAnsi="David"/>
          <w:sz w:val="22"/>
          <w:sz w:val="22"/>
          <w:rtl w:val="true"/>
        </w:rPr>
        <w:t xml:space="preserve"> עונש של </w:t>
      </w:r>
      <w:r>
        <w:rPr>
          <w:rFonts w:cs="David" w:ascii="David" w:hAnsi="David"/>
          <w:sz w:val="22"/>
        </w:rPr>
        <w:t>6</w:t>
      </w:r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ascii="David" w:hAnsi="David"/>
          <w:sz w:val="22"/>
          <w:sz w:val="22"/>
          <w:rtl w:val="true"/>
        </w:rPr>
        <w:t>חודשי מאסר בעבודות שירות</w:t>
      </w:r>
      <w:r>
        <w:rPr>
          <w:rFonts w:cs="David" w:ascii="David" w:hAnsi="David"/>
          <w:sz w:val="22"/>
          <w:rtl w:val="true"/>
        </w:rPr>
        <w:t xml:space="preserve">. </w:t>
      </w:r>
      <w:r>
        <w:rPr>
          <w:rFonts w:ascii="David" w:hAnsi="David"/>
          <w:sz w:val="22"/>
          <w:sz w:val="22"/>
          <w:rtl w:val="true"/>
        </w:rPr>
        <w:t>בית המשפט המחוזי הותיר עונש זה על כנו</w:t>
      </w:r>
      <w:r>
        <w:rPr>
          <w:rFonts w:cs="David" w:ascii="David" w:hAnsi="David"/>
          <w:sz w:val="22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10"/>
          <w:szCs w:val="12"/>
          <w:highlight w:val="cyan"/>
        </w:rPr>
      </w:pPr>
      <w:r>
        <w:rPr>
          <w:rFonts w:cs="David"/>
          <w:sz w:val="10"/>
          <w:szCs w:val="12"/>
          <w:highlight w:val="cyan"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sz w:val="22"/>
        </w:rPr>
      </w:pPr>
      <w:r>
        <w:rPr>
          <w:rFonts w:ascii="David" w:hAnsi="David"/>
          <w:sz w:val="22"/>
          <w:sz w:val="22"/>
          <w:rtl w:val="true"/>
        </w:rPr>
        <w:t>ב</w:t>
      </w:r>
      <w:hyperlink r:id="rId21">
        <w:r>
          <w:rPr>
            <w:rStyle w:val="Hyperlink"/>
            <w:rFonts w:ascii="David" w:hAnsi="David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sz w:val="22"/>
            <w:sz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sz w:val="22"/>
            <w:sz w:val="22"/>
            <w:u w:val="single"/>
            <w:rtl w:val="true"/>
          </w:rPr>
          <w:t>מחוזי חיפה</w:t>
        </w:r>
        <w:r>
          <w:rPr>
            <w:rStyle w:val="Hyperlink"/>
            <w:rFonts w:cs="David" w:ascii="David" w:hAnsi="David"/>
            <w:color w:val="0000FF"/>
            <w:sz w:val="22"/>
            <w:u w:val="single"/>
            <w:rtl w:val="true"/>
          </w:rPr>
          <w:t xml:space="preserve">)  </w:t>
        </w:r>
        <w:r>
          <w:rPr>
            <w:rStyle w:val="Hyperlink"/>
            <w:rFonts w:cs="David" w:ascii="David" w:hAnsi="David"/>
            <w:color w:val="0000FF"/>
            <w:sz w:val="22"/>
            <w:u w:val="single"/>
          </w:rPr>
          <w:t>265-07-11</w:t>
        </w:r>
      </w:hyperlink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rtl w:val="true"/>
        </w:rPr>
        <w:t>מדינת ישראל נ</w:t>
      </w:r>
      <w:r>
        <w:rPr>
          <w:rFonts w:cs="David" w:ascii="David" w:hAnsi="David"/>
          <w:b/>
          <w:bCs/>
          <w:sz w:val="22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rtl w:val="true"/>
        </w:rPr>
        <w:t>נפתלייב</w:t>
      </w:r>
      <w:r>
        <w:rPr>
          <w:rFonts w:ascii="David" w:hAnsi="David"/>
          <w:sz w:val="22"/>
          <w:sz w:val="22"/>
          <w:rtl w:val="true"/>
        </w:rPr>
        <w:t xml:space="preserve"> </w:t>
      </w:r>
      <w:r>
        <w:rPr>
          <w:rFonts w:cs="David" w:ascii="David" w:hAnsi="David"/>
          <w:sz w:val="22"/>
          <w:rtl w:val="true"/>
        </w:rPr>
        <w:t>(</w:t>
      </w:r>
      <w:r>
        <w:rPr>
          <w:rFonts w:ascii="David" w:hAnsi="David"/>
          <w:sz w:val="22"/>
          <w:sz w:val="22"/>
          <w:rtl w:val="true"/>
        </w:rPr>
        <w:t>פורסם בנבו</w:t>
      </w:r>
      <w:r>
        <w:rPr>
          <w:rFonts w:cs="David" w:ascii="David" w:hAnsi="David"/>
          <w:sz w:val="22"/>
          <w:rtl w:val="true"/>
        </w:rPr>
        <w:t xml:space="preserve">, </w:t>
      </w:r>
      <w:r>
        <w:rPr>
          <w:rFonts w:cs="David" w:ascii="David" w:hAnsi="David"/>
          <w:sz w:val="22"/>
        </w:rPr>
        <w:t>3.6.13</w:t>
      </w:r>
      <w:r>
        <w:rPr>
          <w:rFonts w:cs="David" w:ascii="David" w:hAnsi="David"/>
          <w:sz w:val="22"/>
          <w:rtl w:val="true"/>
        </w:rPr>
        <w:t xml:space="preserve">) </w:t>
      </w:r>
      <w:r>
        <w:rPr>
          <w:rFonts w:ascii="David" w:hAnsi="David"/>
          <w:sz w:val="22"/>
          <w:sz w:val="22"/>
          <w:rtl w:val="true"/>
        </w:rPr>
        <w:t xml:space="preserve">הורשע הנאשם בהחזקת </w:t>
      </w:r>
      <w:r>
        <w:rPr>
          <w:rFonts w:cs="David" w:ascii="David" w:hAnsi="David"/>
          <w:sz w:val="22"/>
        </w:rPr>
        <w:t>2</w:t>
      </w:r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ascii="David" w:hAnsi="David"/>
          <w:sz w:val="22"/>
          <w:sz w:val="22"/>
          <w:rtl w:val="true"/>
        </w:rPr>
        <w:t>רימוני הלם בגן ציבורי ובית משפט המחוזי השית עליו עונש של מע</w:t>
      </w:r>
      <w:r>
        <w:rPr>
          <w:rFonts w:cs="David" w:ascii="David" w:hAnsi="David"/>
          <w:sz w:val="22"/>
          <w:rtl w:val="true"/>
        </w:rPr>
        <w:t>"</w:t>
      </w:r>
      <w:r>
        <w:rPr>
          <w:rFonts w:ascii="David" w:hAnsi="David"/>
          <w:sz w:val="22"/>
          <w:sz w:val="22"/>
          <w:rtl w:val="true"/>
        </w:rPr>
        <w:t>ת מבחן ו</w:t>
      </w:r>
      <w:r>
        <w:rPr>
          <w:rFonts w:cs="David" w:ascii="David" w:hAnsi="David"/>
          <w:sz w:val="22"/>
          <w:rtl w:val="true"/>
        </w:rPr>
        <w:t xml:space="preserve">- </w:t>
      </w:r>
      <w:r>
        <w:rPr>
          <w:rFonts w:cs="David" w:ascii="David" w:hAnsi="David"/>
          <w:sz w:val="22"/>
        </w:rPr>
        <w:t>400</w:t>
      </w:r>
      <w:r>
        <w:rPr>
          <w:rFonts w:cs="David" w:ascii="David" w:hAnsi="David"/>
          <w:sz w:val="22"/>
          <w:rtl w:val="true"/>
        </w:rPr>
        <w:t xml:space="preserve"> </w:t>
      </w:r>
      <w:r>
        <w:rPr>
          <w:rFonts w:ascii="David" w:hAnsi="David"/>
          <w:sz w:val="22"/>
          <w:sz w:val="22"/>
          <w:rtl w:val="true"/>
        </w:rPr>
        <w:t>שעות של</w:t>
      </w:r>
      <w:r>
        <w:rPr>
          <w:rFonts w:cs="David" w:ascii="David" w:hAnsi="David"/>
          <w:sz w:val="22"/>
          <w:rtl w:val="true"/>
        </w:rPr>
        <w:t>"</w:t>
      </w:r>
      <w:r>
        <w:rPr>
          <w:rFonts w:ascii="David" w:hAnsi="David"/>
          <w:sz w:val="22"/>
          <w:sz w:val="22"/>
          <w:rtl w:val="true"/>
        </w:rPr>
        <w:t>צ</w:t>
      </w:r>
      <w:r>
        <w:rPr>
          <w:rFonts w:cs="David" w:ascii="David" w:hAnsi="David"/>
          <w:sz w:val="22"/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60" w:start="1440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כ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ס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30669-04-15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15.06.16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60" w:start="144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hyperlink r:id="rId23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טבריה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26182-10-14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 ישראל 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אבו חנין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פורסם בנבו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9.2.16</w:t>
      </w:r>
      <w:r>
        <w:rPr>
          <w:rFonts w:cs="Calibri" w:ascii="Calibri" w:hAnsi="Calibri"/>
          <w:sz w:val="22"/>
          <w:rtl w:val="true"/>
        </w:rPr>
        <w:t xml:space="preserve">) </w:t>
      </w:r>
      <w:r>
        <w:rPr>
          <w:rFonts w:ascii="Calibri" w:hAnsi="Calibri" w:cs="Calibri"/>
          <w:sz w:val="22"/>
          <w:sz w:val="22"/>
          <w:rtl w:val="true"/>
        </w:rPr>
        <w:t xml:space="preserve">הורשע </w:t>
      </w:r>
      <w:r>
        <w:rPr>
          <w:rFonts w:ascii="Calibri" w:hAnsi="Calibri" w:cs="Calibri"/>
          <w:sz w:val="22"/>
          <w:sz w:val="22"/>
          <w:rtl w:val="true"/>
        </w:rPr>
        <w:t>ה</w:t>
      </w:r>
      <w:r>
        <w:rPr>
          <w:rFonts w:ascii="Calibri" w:hAnsi="Calibri" w:cs="Calibri"/>
          <w:sz w:val="22"/>
          <w:sz w:val="22"/>
          <w:rtl w:val="true"/>
        </w:rPr>
        <w:t>נאשם בהחזקת דבק חבלה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>מחסנית לנשק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364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כדורי </w:t>
      </w:r>
      <w:r>
        <w:rPr>
          <w:rFonts w:cs="Calibri" w:ascii="Calibri" w:hAnsi="Calibri"/>
          <w:sz w:val="22"/>
        </w:rPr>
        <w:t>7.62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714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כדורי </w:t>
      </w:r>
      <w:r>
        <w:rPr>
          <w:rFonts w:cs="Calibri" w:ascii="Calibri" w:hAnsi="Calibri"/>
          <w:sz w:val="22"/>
        </w:rPr>
        <w:t>5.56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50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מחסניות </w:t>
      </w:r>
      <w:r>
        <w:rPr>
          <w:rFonts w:cs="Calibri" w:ascii="Calibri" w:hAnsi="Calibri"/>
          <w:sz w:val="22"/>
        </w:rPr>
        <w:t>16</w:t>
      </w:r>
      <w:r>
        <w:rPr>
          <w:rFonts w:cs="Calibri" w:ascii="Calibri" w:hAnsi="Calibri"/>
          <w:sz w:val="22"/>
        </w:rPr>
        <w:t>M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כשבתוכן </w:t>
      </w:r>
      <w:r>
        <w:rPr>
          <w:rFonts w:cs="Calibri" w:ascii="Calibri" w:hAnsi="Calibri"/>
          <w:sz w:val="22"/>
        </w:rPr>
        <w:t>708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כדורים אשר נמצאו בדירת מגוריו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את הפר</w:t>
      </w:r>
      <w:r>
        <w:rPr>
          <w:rFonts w:ascii="Calibri" w:hAnsi="Calibri" w:cs="Calibri"/>
          <w:sz w:val="22"/>
          <w:sz w:val="22"/>
          <w:rtl w:val="true"/>
        </w:rPr>
        <w:t>י</w:t>
      </w:r>
      <w:r>
        <w:rPr>
          <w:rFonts w:ascii="Calibri" w:hAnsi="Calibri" w:cs="Calibri"/>
          <w:sz w:val="22"/>
          <w:sz w:val="22"/>
          <w:rtl w:val="true"/>
        </w:rPr>
        <w:t>טים לקח הנאשם במהלך שירותו הצבאי ולא השיבם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על הנאשם הושת עונש של מע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ת וקנס</w:t>
      </w:r>
      <w:r>
        <w:rPr>
          <w:rFonts w:cs="Calibri" w:ascii="Calibri" w:hAnsi="Calibri"/>
          <w:sz w:val="22"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60" w:start="1440" w:end="0"/>
        <w:jc w:val="both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  <w:sz w:val="22"/>
          <w:rtl w:val="true"/>
        </w:rPr>
        <w:t>ב</w:t>
      </w:r>
      <w:hyperlink r:id="rId24"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sz w:val="22"/>
            <w:sz w:val="22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sz w:val="22"/>
            <w:u w:val="single"/>
          </w:rPr>
          <w:t>61153-09-14</w:t>
        </w:r>
      </w:hyperlink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מדינת ישראל נ</w:t>
      </w:r>
      <w:r>
        <w:rPr>
          <w:rFonts w:cs="Calibri" w:ascii="Calibri" w:hAnsi="Calibri"/>
          <w:b/>
          <w:bCs/>
          <w:sz w:val="22"/>
          <w:rtl w:val="true"/>
        </w:rPr>
        <w:t xml:space="preserve">' </w:t>
      </w:r>
      <w:r>
        <w:rPr>
          <w:rFonts w:ascii="Calibri" w:hAnsi="Calibri" w:cs="Calibri"/>
          <w:b/>
          <w:b/>
          <w:bCs/>
          <w:sz w:val="22"/>
          <w:sz w:val="22"/>
          <w:rtl w:val="true"/>
        </w:rPr>
        <w:t>קארן מליאנץ</w:t>
      </w:r>
      <w:r>
        <w:rPr>
          <w:rFonts w:ascii="Calibri" w:hAnsi="Calibri" w:cs="Calibri"/>
          <w:sz w:val="22"/>
          <w:sz w:val="22"/>
          <w:rtl w:val="true"/>
        </w:rPr>
        <w:t xml:space="preserve"> </w:t>
      </w:r>
      <w:r>
        <w:rPr>
          <w:rFonts w:cs="Calibri" w:ascii="Calibri" w:hAnsi="Calibri"/>
          <w:sz w:val="22"/>
          <w:rtl w:val="true"/>
        </w:rPr>
        <w:t>(</w:t>
      </w:r>
      <w:r>
        <w:rPr>
          <w:rFonts w:ascii="Calibri" w:hAnsi="Calibri" w:cs="Calibri"/>
          <w:sz w:val="22"/>
          <w:sz w:val="22"/>
          <w:rtl w:val="true"/>
        </w:rPr>
        <w:t>פורסם בנבו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3.3.16</w:t>
      </w:r>
      <w:r>
        <w:rPr>
          <w:rFonts w:cs="Calibri" w:ascii="Calibri" w:hAnsi="Calibri"/>
          <w:sz w:val="22"/>
          <w:rtl w:val="true"/>
        </w:rPr>
        <w:t>)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מדובר בנאשם אשר יוחס לו בכתב האישום החזקת </w:t>
      </w:r>
      <w:r>
        <w:rPr>
          <w:rFonts w:cs="Calibri" w:ascii="Calibri" w:hAnsi="Calibri"/>
          <w:sz w:val="22"/>
        </w:rPr>
        <w:t>12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כדורי אקדח </w:t>
      </w:r>
      <w:r>
        <w:rPr>
          <w:rFonts w:cs="Calibri" w:ascii="Calibri" w:hAnsi="Calibri"/>
          <w:sz w:val="22"/>
        </w:rPr>
        <w:t>9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cs="Calibri" w:ascii="Calibri" w:hAnsi="Calibri"/>
          <w:sz w:val="22"/>
          <w:rtl w:val="true"/>
        </w:rPr>
        <w:t>"</w:t>
      </w:r>
      <w:r>
        <w:rPr>
          <w:rFonts w:ascii="Calibri" w:hAnsi="Calibri" w:cs="Calibri"/>
          <w:sz w:val="22"/>
          <w:sz w:val="22"/>
          <w:rtl w:val="true"/>
        </w:rPr>
        <w:t>מ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נפצים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113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כדורים בתפזורת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cs="Calibri" w:ascii="Calibri" w:hAnsi="Calibri"/>
          <w:sz w:val="22"/>
        </w:rPr>
        <w:t>3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מחסניות של אקדח </w:t>
      </w:r>
      <w:r>
        <w:rPr>
          <w:rFonts w:cs="Calibri" w:ascii="Calibri" w:hAnsi="Calibri"/>
          <w:sz w:val="22"/>
        </w:rPr>
        <w:t>16</w:t>
      </w:r>
      <w:r>
        <w:rPr>
          <w:rFonts w:cs="Calibri" w:ascii="Calibri" w:hAnsi="Calibri"/>
          <w:sz w:val="22"/>
        </w:rPr>
        <w:t>M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>המכילות כדורים ו</w:t>
      </w:r>
      <w:r>
        <w:rPr>
          <w:rFonts w:cs="Calibri" w:ascii="Calibri" w:hAnsi="Calibri"/>
          <w:sz w:val="22"/>
          <w:rtl w:val="true"/>
        </w:rPr>
        <w:t xml:space="preserve">- </w:t>
      </w:r>
      <w:r>
        <w:rPr>
          <w:rFonts w:cs="Calibri" w:ascii="Calibri" w:hAnsi="Calibri"/>
          <w:sz w:val="22"/>
        </w:rPr>
        <w:t>214</w:t>
      </w:r>
      <w:r>
        <w:rPr>
          <w:rFonts w:cs="Calibri" w:ascii="Calibri" w:hAnsi="Calibri"/>
          <w:sz w:val="22"/>
          <w:rtl w:val="true"/>
        </w:rPr>
        <w:t xml:space="preserve"> </w:t>
      </w:r>
      <w:r>
        <w:rPr>
          <w:rFonts w:ascii="Calibri" w:hAnsi="Calibri" w:cs="Calibri"/>
          <w:sz w:val="22"/>
          <w:sz w:val="22"/>
          <w:rtl w:val="true"/>
        </w:rPr>
        <w:t xml:space="preserve">כדורי </w:t>
      </w:r>
      <w:r>
        <w:rPr>
          <w:rFonts w:cs="Calibri" w:ascii="Calibri" w:hAnsi="Calibri"/>
          <w:sz w:val="22"/>
        </w:rPr>
        <w:t>16</w:t>
      </w:r>
      <w:r>
        <w:rPr>
          <w:rFonts w:cs="Calibri" w:ascii="Calibri" w:hAnsi="Calibri"/>
          <w:sz w:val="22"/>
        </w:rPr>
        <w:t>M</w:t>
      </w:r>
      <w:r>
        <w:rPr>
          <w:rFonts w:cs="Calibri" w:ascii="Calibri" w:hAnsi="Calibri"/>
          <w:sz w:val="22"/>
          <w:rtl w:val="true"/>
        </w:rPr>
        <w:t>)</w:t>
      </w:r>
      <w:r>
        <w:rPr>
          <w:rFonts w:cs="Calibri" w:ascii="Calibri" w:hAnsi="Calibri"/>
          <w:sz w:val="22"/>
          <w:rtl w:val="true"/>
        </w:rPr>
        <w:t xml:space="preserve">. </w:t>
      </w:r>
      <w:r>
        <w:rPr>
          <w:rFonts w:ascii="Calibri" w:hAnsi="Calibri" w:cs="Calibri"/>
          <w:sz w:val="22"/>
          <w:sz w:val="22"/>
          <w:rtl w:val="true"/>
        </w:rPr>
        <w:t>ב</w:t>
      </w:r>
      <w:r>
        <w:rPr>
          <w:rFonts w:ascii="Calibri" w:hAnsi="Calibri" w:cs="Calibri"/>
          <w:sz w:val="22"/>
          <w:sz w:val="22"/>
          <w:rtl w:val="true"/>
        </w:rPr>
        <w:t>ית המשפט קיבל את המלצת שירות המבחן</w:t>
      </w:r>
      <w:r>
        <w:rPr>
          <w:rFonts w:cs="Calibri" w:ascii="Calibri" w:hAnsi="Calibri"/>
          <w:sz w:val="22"/>
          <w:rtl w:val="true"/>
        </w:rPr>
        <w:t xml:space="preserve">, </w:t>
      </w:r>
      <w:r>
        <w:rPr>
          <w:rFonts w:ascii="Calibri" w:hAnsi="Calibri" w:cs="Calibri"/>
          <w:sz w:val="22"/>
          <w:sz w:val="22"/>
          <w:rtl w:val="true"/>
        </w:rPr>
        <w:t xml:space="preserve">נמנע מהרשעתו </w:t>
      </w:r>
      <w:r>
        <w:rPr>
          <w:rFonts w:ascii="Calibri" w:hAnsi="Calibri" w:cs="Calibri"/>
          <w:sz w:val="22"/>
          <w:sz w:val="22"/>
          <w:rtl w:val="true"/>
        </w:rPr>
        <w:t>והש</w:t>
      </w:r>
      <w:r>
        <w:rPr>
          <w:rFonts w:ascii="Calibri" w:hAnsi="Calibri" w:cs="Calibri"/>
          <w:sz w:val="22"/>
          <w:sz w:val="22"/>
          <w:rtl w:val="true"/>
        </w:rPr>
        <w:t>י</w:t>
      </w:r>
      <w:r>
        <w:rPr>
          <w:rFonts w:ascii="Calibri" w:hAnsi="Calibri" w:cs="Calibri"/>
          <w:sz w:val="22"/>
          <w:sz w:val="22"/>
          <w:rtl w:val="true"/>
        </w:rPr>
        <w:t>ת עליו עונש של ש</w:t>
      </w:r>
      <w:r>
        <w:rPr>
          <w:rFonts w:ascii="Calibri" w:hAnsi="Calibri" w:cs="Calibri"/>
          <w:sz w:val="22"/>
          <w:sz w:val="22"/>
          <w:rtl w:val="true"/>
        </w:rPr>
        <w:t>ירות לתועלת הציבור</w:t>
      </w:r>
      <w:r>
        <w:rPr>
          <w:rFonts w:cs="Calibri" w:ascii="Calibri" w:hAnsi="Calibri"/>
          <w:sz w:val="22"/>
          <w:rtl w:val="true"/>
        </w:rPr>
        <w:t>.</w:t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6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כ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16868-06-11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מסארווה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20.2.13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 xml:space="preserve">הנאשם הורשע בעבירה של החזקת תחמושת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109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 </w:t>
      </w:r>
      <w:r>
        <w:rPr>
          <w:rFonts w:cs="Calibri" w:ascii="Calibri" w:hAnsi="Calibri"/>
        </w:rPr>
        <w:t>5.56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נדון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בעבודות שירות מאסר מותנה וקנס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highlight w:val="cyan"/>
          <w:rtl w:val="true"/>
        </w:rPr>
        <w:t xml:space="preserve">  </w:t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6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רמלה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5787-10-14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אשטיבקר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 xml:space="preserve">פורסם </w:t>
      </w:r>
      <w:r>
        <w:rPr>
          <w:rFonts w:ascii="Calibri" w:hAnsi="Calibri" w:cs="Calibri"/>
          <w:rtl w:val="true"/>
        </w:rPr>
        <w:t>בנבו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13.4.15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לנאשם יוחסה עבירה של החזקת תחמושת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 xml:space="preserve">הנאשם החזיק בביתו שתי מחסניות </w:t>
      </w:r>
      <w:r>
        <w:rPr>
          <w:rFonts w:cs="Calibri" w:ascii="Calibri" w:hAnsi="Calibri"/>
        </w:rPr>
        <w:t>M</w:t>
      </w:r>
      <w:r>
        <w:rPr>
          <w:rFonts w:cs="Calibri" w:ascii="Calibri" w:hAnsi="Calibri"/>
        </w:rPr>
        <w:t>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שהכילו </w:t>
      </w:r>
      <w:r>
        <w:rPr>
          <w:rFonts w:cs="Calibri" w:ascii="Calibri" w:hAnsi="Calibri"/>
        </w:rPr>
        <w:t>39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והחזיק בתא המטען שבמכוניתו 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 </w:t>
      </w:r>
      <w:r>
        <w:rPr>
          <w:rFonts w:cs="Calibri" w:ascii="Calibri" w:hAnsi="Calibri"/>
        </w:rPr>
        <w:t>5.56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 לצד עבירות על פקודת הסמים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בית המשפט קבע כי מתחם העונש ההולם לעבירה של החזקת תחמושת נע  מצו 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 ועד לשנת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נדון על כל העבירות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פסילה על תנאי וקנס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spacing w:lineRule="auto" w:line="360" w:before="0" w:after="120"/>
        <w:ind w:hanging="360" w:start="1440" w:end="0"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רמלה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16825-05-15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גואטה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פורסם ב</w:t>
      </w:r>
      <w:r>
        <w:rPr>
          <w:rFonts w:ascii="Calibri" w:hAnsi="Calibri" w:cs="Calibri"/>
          <w:rtl w:val="true"/>
        </w:rPr>
        <w:t>נבו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</w:rPr>
        <w:t>10.1.17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הנאשם נדון על עבירות בניגוד 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הסמים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המסוכנים</w:t>
        </w:r>
      </w:hyperlink>
      <w:r>
        <w:rPr>
          <w:rFonts w:ascii="Calibri" w:hAnsi="Calibri" w:cs="Calibri"/>
          <w:rtl w:val="true"/>
        </w:rPr>
        <w:t xml:space="preserve"> לצד עבירה של החזקת תחמושת </w:t>
      </w:r>
      <w:r>
        <w:rPr>
          <w:rFonts w:cs="Calibri" w:ascii="Calibri" w:hAnsi="Calibri"/>
          <w:rtl w:val="true"/>
        </w:rPr>
        <w:t xml:space="preserve">( </w:t>
      </w:r>
      <w:r>
        <w:rPr>
          <w:rFonts w:ascii="Calibri" w:hAnsi="Calibri" w:cs="Calibri"/>
          <w:rtl w:val="true"/>
        </w:rPr>
        <w:t xml:space="preserve">מחסנית לרובה </w:t>
      </w:r>
      <w:r>
        <w:rPr>
          <w:rFonts w:cs="Calibri" w:ascii="Calibri" w:hAnsi="Calibri"/>
        </w:rPr>
        <w:t>M-16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ובה </w:t>
      </w:r>
      <w:r>
        <w:rPr>
          <w:rFonts w:cs="Calibri" w:ascii="Calibri" w:hAnsi="Calibri"/>
        </w:rPr>
        <w:t>29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כדורים </w:t>
      </w:r>
      <w:r>
        <w:rPr>
          <w:rFonts w:cs="Calibri" w:ascii="Calibri" w:hAnsi="Calibri"/>
        </w:rPr>
        <w:t>5.56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בית המשפט קבע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 מתחם העונש ההולם לעביר</w:t>
      </w:r>
      <w:r>
        <w:rPr>
          <w:rFonts w:ascii="Calibri" w:hAnsi="Calibri" w:cs="Calibri"/>
          <w:rtl w:val="true"/>
        </w:rPr>
        <w:t>ת</w:t>
      </w:r>
      <w:r>
        <w:rPr>
          <w:rFonts w:ascii="Calibri" w:hAnsi="Calibri" w:cs="Calibri"/>
          <w:rtl w:val="true"/>
        </w:rPr>
        <w:t xml:space="preserve"> החזקת התחמושת נע בין מאסר על תנאי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 הנאשם נגזרו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בשל </w:t>
      </w:r>
      <w:r>
        <w:rPr>
          <w:rFonts w:ascii="Calibri" w:hAnsi="Calibri" w:cs="Calibri"/>
          <w:rtl w:val="true"/>
        </w:rPr>
        <w:t xml:space="preserve">מכלול האישומים </w:t>
      </w:r>
      <w:r>
        <w:rPr>
          <w:rFonts w:cs="Calibri" w:ascii="Calibri" w:hAnsi="Calibri"/>
        </w:rPr>
        <w:t>3.5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על 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פסילה על תנאי וצו מבחן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color w:val="0000FF"/>
          <w:sz w:val="12"/>
          <w:szCs w:val="12"/>
          <w:u w:val="single"/>
        </w:rPr>
      </w:pPr>
      <w:r>
        <w:rPr>
          <w:rFonts w:cs="Calibri" w:ascii="Calibri" w:hAnsi="Calibri"/>
          <w:color w:val="0000FF"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שהבאתי בחשבון את הערכים החברתיים שנפגעו כתוצאה ממעשי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מדיניות הענישה הנוהגת ואת הנסיבות הקשורות בעבירה</w:t>
      </w:r>
      <w:r>
        <w:rPr>
          <w:rFonts w:cs="David" w:ascii="David" w:hAnsi="David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ListParagraph"/>
        <w:spacing w:lineRule="auto" w:line="360"/>
        <w:ind w:end="1418"/>
        <w:jc w:val="both"/>
        <w:rPr>
          <w:rFonts w:ascii="David" w:hAnsi="David"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color w:val="000000"/>
          <w:rtl w:val="true"/>
        </w:rPr>
        <w:t>סעיף</w:t>
      </w:r>
      <w:r>
        <w:rPr>
          <w:rFonts w:cs="Times New Roman"/>
          <w:color w:val="000000"/>
          <w:rtl w:val="true"/>
        </w:rPr>
        <w:t xml:space="preserve"> </w:t>
      </w:r>
      <w:hyperlink r:id="rId29">
        <w:r>
          <w:rPr>
            <w:rStyle w:val="Hyperlink"/>
          </w:rPr>
          <w:t>40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,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85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spacing w:lineRule="auto" w:line="360" w:before="0" w:after="0"/>
        <w:ind w:start="1134" w:end="1134"/>
        <w:contextualSpacing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וראו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b/>
          <w:bCs/>
          <w:rtl w:val="true"/>
        </w:rPr>
        <w:t xml:space="preserve">, </w:t>
      </w:r>
      <w:hyperlink r:id="rId3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6583/06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אדהאם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5.12.2006</w:t>
      </w:r>
      <w:r>
        <w:rPr>
          <w:b/>
          <w:bCs/>
          <w:rtl w:val="true"/>
        </w:rPr>
        <w:t xml:space="preserve">); </w:t>
      </w:r>
      <w:hyperlink r:id="rId3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2839/05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17.11.2005</w:t>
      </w:r>
      <w:r>
        <w:rPr>
          <w:b/>
          <w:bCs/>
          <w:rtl w:val="true"/>
        </w:rPr>
        <w:t>)).</w:t>
      </w:r>
    </w:p>
    <w:p>
      <w:pPr>
        <w:pStyle w:val="Normal"/>
        <w:spacing w:before="0" w:after="0"/>
        <w:ind w:start="1134" w:end="1134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/>
      </w:pPr>
      <w:r>
        <w:rPr>
          <w:rtl w:val="true"/>
        </w:rPr>
        <w:t>באיזון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cs="David"/>
          <w:sz w:val="12"/>
          <w:szCs w:val="12"/>
        </w:rPr>
      </w:pPr>
      <w:r>
        <w:rPr>
          <w:rFonts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120" w:after="120"/>
        <w:ind w:hanging="357" w:start="357" w:end="0"/>
        <w:contextualSpacing/>
        <w:jc w:val="both"/>
        <w:rPr>
          <w:rFonts w:eastAsia="David"/>
        </w:rPr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eastAsia="David"/>
          <w:sz w:val="14"/>
          <w:szCs w:val="14"/>
        </w:rPr>
      </w:pPr>
      <w:r>
        <w:rPr>
          <w:rFonts w:eastAsia="David"/>
          <w:sz w:val="14"/>
          <w:szCs w:val="14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0" w:after="0"/>
        <w:ind w:hanging="360" w:start="1980" w:end="0"/>
        <w:contextualSpacing/>
        <w:jc w:val="both"/>
        <w:rPr/>
      </w:pPr>
      <w:r>
        <w:rPr/>
        <w:t>85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29.10.19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21.1.2020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1980" w:end="0"/>
        <w:contextualSpacing/>
        <w:jc w:val="both"/>
        <w:rPr>
          <w:sz w:val="12"/>
          <w:szCs w:val="12"/>
        </w:rPr>
      </w:pPr>
      <w:r>
        <w:rPr>
          <w:sz w:val="12"/>
          <w:szCs w:val="12"/>
          <w:rtl w:val="true"/>
        </w:rPr>
      </w:r>
    </w:p>
    <w:p>
      <w:pPr>
        <w:pStyle w:val="Normal"/>
        <w:numPr>
          <w:ilvl w:val="1"/>
          <w:numId w:val="2"/>
        </w:numPr>
        <w:spacing w:lineRule="auto" w:line="360" w:before="0" w:after="0"/>
        <w:ind w:hanging="360" w:start="1980" w:end="0"/>
        <w:contextualSpacing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העתק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בירושלים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חשוון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נובמבר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  <w:bookmarkEnd w:id="10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חנה מרים לומפ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028 Extrabold">
    <w:altName w:val="Times New Roman"/>
    <w:charset w:val="00" w:characterSet="windows-125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40898-11-19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מג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אהד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2"/>
        <w:b w:val="false"/>
        <w:szCs w:val="22"/>
        <w:bCs w:val="false"/>
        <w:rFonts w:cs="Times New Roman"/>
      </w:rPr>
    </w:lvl>
    <w:lvl w:ilvl="1">
      <w:start w:val="1"/>
      <w:numFmt w:val="hebrew1"/>
      <w:lvlText w:val="%2."/>
      <w:lvlJc w:val="center"/>
      <w:pPr>
        <w:tabs>
          <w:tab w:val="num" w:pos="0"/>
        </w:tabs>
        <w:ind w:start="1440" w:hanging="360"/>
      </w:pPr>
      <w:rPr>
        <w:rFonts w:cs="Times New Roman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>
        <w:rFonts w:cs="Times New Roman"/>
      </w:rPr>
    </w:lvl>
  </w:abstractNum>
  <w:abstractNum w:abstractNumId="2">
    <w:lvl w:ilvl="0">
      <w:start w:val="1"/>
      <w:numFmt w:val="hebrew1"/>
      <w:lvlText w:val="%1."/>
      <w:lvlJc w:val="center"/>
      <w:pPr>
        <w:tabs>
          <w:tab w:val="num" w:pos="1080"/>
        </w:tabs>
        <w:ind w:start="1080" w:hanging="720"/>
      </w:pPr>
      <w:rPr>
        <w:rFonts w:ascii="A028 Extrabold;Times New Roman" w:hAnsi="A028 Extrabold;Times New Roman" w:cs="David"/>
      </w:rPr>
    </w:lvl>
    <w:lvl w:ilvl="1">
      <w:start w:val="1"/>
      <w:numFmt w:val="hebrew1"/>
      <w:lvlText w:val="%2."/>
      <w:lvlJc w:val="center"/>
      <w:pPr>
        <w:tabs>
          <w:tab w:val="num" w:pos="1980"/>
        </w:tabs>
        <w:ind w:start="1980" w:hanging="360"/>
      </w:pPr>
      <w:rPr>
        <w:rFonts w:ascii="A028 Extrabold;Times New Roman" w:hAnsi="A028 Extrabold;Times New Roman" w:cs="David"/>
      </w:rPr>
    </w:lvl>
    <w:lvl w:ilvl="2">
      <w:start w:val="1"/>
      <w:numFmt w:val="decimal"/>
      <w:lvlText w:val="(%3)"/>
      <w:lvlJc w:val="start"/>
      <w:pPr>
        <w:tabs>
          <w:tab w:val="num" w:pos="2700"/>
        </w:tabs>
        <w:ind w:start="270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3240"/>
        </w:tabs>
        <w:ind w:start="324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960"/>
        </w:tabs>
        <w:ind w:start="396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680"/>
        </w:tabs>
        <w:ind w:start="468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400"/>
        </w:tabs>
        <w:ind w:start="540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6120"/>
        </w:tabs>
        <w:ind w:start="612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840"/>
        </w:tabs>
        <w:ind w:start="6840" w:hanging="180"/>
      </w:pPr>
      <w:rPr>
        <w:rFonts w:cs="Times New Roman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b w:val="false"/>
      <w:bCs w:val="false"/>
      <w:sz w:val="22"/>
      <w:szCs w:val="22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A028 Extrabold;Times New Roman" w:hAnsi="A028 Extrabold;Times New Roman" w:cs="David"/>
    </w:rPr>
  </w:style>
  <w:style w:type="character" w:styleId="WW8Num2z2">
    <w:name w:val="WW8Num2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i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0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6473037" TargetMode="External"/><Relationship Id="rId13" Type="http://schemas.openxmlformats.org/officeDocument/2006/relationships/hyperlink" Target="http://www.nevo.co.il/law/70301/40i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5217995" TargetMode="External"/><Relationship Id="rId16" Type="http://schemas.openxmlformats.org/officeDocument/2006/relationships/hyperlink" Target="http://www.nevo.co.il/case/6058757" TargetMode="External"/><Relationship Id="rId17" Type="http://schemas.openxmlformats.org/officeDocument/2006/relationships/hyperlink" Target="http://www.nevo.co.il/case/6024035" TargetMode="External"/><Relationship Id="rId18" Type="http://schemas.openxmlformats.org/officeDocument/2006/relationships/hyperlink" Target="http://www.nevo.co.il/case/5601503" TargetMode="External"/><Relationship Id="rId19" Type="http://schemas.openxmlformats.org/officeDocument/2006/relationships/hyperlink" Target="http://www.nevo.co.il/case/16969183" TargetMode="External"/><Relationship Id="rId20" Type="http://schemas.openxmlformats.org/officeDocument/2006/relationships/hyperlink" Target="http://www.nevo.co.il/case/2894643" TargetMode="External"/><Relationship Id="rId21" Type="http://schemas.openxmlformats.org/officeDocument/2006/relationships/hyperlink" Target="http://www.nevo.co.il/case/2776733" TargetMode="External"/><Relationship Id="rId22" Type="http://schemas.openxmlformats.org/officeDocument/2006/relationships/hyperlink" Target="http://www.nevo.co.il/case/20206548" TargetMode="External"/><Relationship Id="rId23" Type="http://schemas.openxmlformats.org/officeDocument/2006/relationships/hyperlink" Target="http://www.nevo.co.il/case/18099950" TargetMode="External"/><Relationship Id="rId24" Type="http://schemas.openxmlformats.org/officeDocument/2006/relationships/hyperlink" Target="http://www.nevo.co.il/case/18071740" TargetMode="External"/><Relationship Id="rId25" Type="http://schemas.openxmlformats.org/officeDocument/2006/relationships/hyperlink" Target="http://www.nevo.co.il/case/3571201" TargetMode="External"/><Relationship Id="rId26" Type="http://schemas.openxmlformats.org/officeDocument/2006/relationships/hyperlink" Target="http://www.nevo.co.il/case/18066399" TargetMode="External"/><Relationship Id="rId27" Type="http://schemas.openxmlformats.org/officeDocument/2006/relationships/hyperlink" Target="http://www.nevo.co.il/case/20262809" TargetMode="External"/><Relationship Id="rId28" Type="http://schemas.openxmlformats.org/officeDocument/2006/relationships/hyperlink" Target="http://www.nevo.co.il/law/4216" TargetMode="External"/><Relationship Id="rId29" Type="http://schemas.openxmlformats.org/officeDocument/2006/relationships/hyperlink" Target="http://www.nevo.co.il/law/70301/40ja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5601503" TargetMode="External"/><Relationship Id="rId32" Type="http://schemas.openxmlformats.org/officeDocument/2006/relationships/hyperlink" Target="http://www.nevo.co.il/case/5852404" TargetMode="External"/><Relationship Id="rId33" Type="http://schemas.openxmlformats.org/officeDocument/2006/relationships/hyperlink" Target="http://www.nevo.co.il/case/6072945" TargetMode="External"/><Relationship Id="rId34" Type="http://schemas.openxmlformats.org/officeDocument/2006/relationships/hyperlink" Target="http://www.nevo.co.il/case/5859902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2021-10-11T08:26:00Z</dcterms:created>
  <dc:creator> </dc:creator>
  <dc:description/>
  <cp:keywords/>
  <dc:language>en-IL</dc:language>
  <cp:lastModifiedBy>h1</cp:lastModifiedBy>
  <dcterms:modified xsi:type="dcterms:W3CDTF">2021-10-11T08:26:00Z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מג'אהד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6473037;25217995;6058757;6024035;5601503:2;16969183;2894643;2776733;20206548;18099950;18071740;3571201;18066399;20262809;5852404;6072945;5859902</vt:lpwstr>
  </property>
  <property fmtid="{D5CDD505-2E9C-101B-9397-08002B2CF9AE}" pid="9" name="CITY">
    <vt:lpwstr>י-ם</vt:lpwstr>
  </property>
  <property fmtid="{D5CDD505-2E9C-101B-9397-08002B2CF9AE}" pid="10" name="DATE">
    <vt:lpwstr>20201110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חנה מרים לומפ</vt:lpwstr>
  </property>
  <property fmtid="{D5CDD505-2E9C-101B-9397-08002B2CF9AE}" pid="14" name="LAWLISTTMP1">
    <vt:lpwstr>70301/144.a;040b;040i;40ja</vt:lpwstr>
  </property>
  <property fmtid="{D5CDD505-2E9C-101B-9397-08002B2CF9AE}" pid="15" name="LAWLISTTMP2">
    <vt:lpwstr>4216</vt:lpwstr>
  </property>
  <property fmtid="{D5CDD505-2E9C-101B-9397-08002B2CF9AE}" pid="16" name="LAWYER">
    <vt:lpwstr>יפעת פנחסי;יוסי זילברברג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40898</vt:lpwstr>
  </property>
  <property fmtid="{D5CDD505-2E9C-101B-9397-08002B2CF9AE}" pid="23" name="NEWPARTB">
    <vt:lpwstr>11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390020201110</vt:lpwstr>
  </property>
  <property fmtid="{D5CDD505-2E9C-101B-9397-08002B2CF9AE}" pid="35" name="TYPE_N_DATE">
    <vt:lpwstr>39020201110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