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רביע הייב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אין התייצבות – שביתת פרקליטים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אמיר עראף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  <w:r>
        <w:rPr>
          <w:b w:val="false"/>
          <w:bCs w:val="false"/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firstLine="36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הקדמה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bookmarkStart w:id="10" w:name="ABSTRACT_START"/>
      <w:bookmarkEnd w:id="10"/>
      <w:r>
        <w:rPr>
          <w:rtl w:val="true"/>
        </w:rPr>
        <w:t>הנאשם הורשע על פי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של סיוע לשוד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402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בצירוף סעיפים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נהיגה ללא רישיון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בצירוף סעיף </w:t>
      </w:r>
      <w:r>
        <w:rPr/>
        <w:t>62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6">
        <w:r>
          <w:rPr>
            <w:rStyle w:val="Hyperlink"/>
            <w:b/>
            <w:b/>
            <w:bCs/>
            <w:rtl w:val="true"/>
          </w:rPr>
          <w:t>פקודת התעבורה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-</w:t>
      </w:r>
      <w:r>
        <w:rPr>
          <w:b/>
          <w:bCs/>
        </w:rPr>
        <w:t>1961</w:t>
      </w:r>
      <w:r>
        <w:rPr>
          <w:rtl w:val="true"/>
        </w:rPr>
        <w:t xml:space="preserve">; </w:t>
      </w:r>
      <w:r>
        <w:rPr>
          <w:rtl w:val="true"/>
        </w:rPr>
        <w:t>נהיגה ללא פוליסת ביטוח בת</w:t>
      </w:r>
      <w:r>
        <w:rPr>
          <w:rtl w:val="true"/>
        </w:rPr>
        <w:t>-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7">
        <w:r>
          <w:rPr>
            <w:rStyle w:val="Hyperlink"/>
            <w:b/>
            <w:b/>
            <w:bCs/>
            <w:rtl w:val="true"/>
          </w:rPr>
          <w:t>פקודת ביטוח רכב מנועי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 חדש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1970</w:t>
      </w:r>
      <w:r>
        <w:rPr>
          <w:rtl w:val="true"/>
        </w:rPr>
        <w:t xml:space="preserve">; </w:t>
      </w:r>
      <w:r>
        <w:rPr>
          <w:rtl w:val="true"/>
        </w:rPr>
        <w:t>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בצירוף 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ובעבירה של התפרצות לבניין שאינו מקום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407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>.</w:t>
        <w:tab/>
      </w:r>
      <w:bookmarkStart w:id="11" w:name="ABSTRACT_END"/>
      <w:bookmarkEnd w:id="11"/>
      <w:r>
        <w:rPr>
          <w:rtl w:val="true"/>
        </w:rPr>
        <w:br/>
        <w:br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הורשע הנאשם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בתיק שצורף לתיק זה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נוער נצרת </w:t>
      </w:r>
      <w:r>
        <w:rPr>
          <w:b/>
          <w:bCs/>
        </w:rPr>
        <w:t>173-03-09</w:t>
      </w:r>
      <w:r>
        <w:rPr>
          <w:rtl w:val="true"/>
        </w:rPr>
        <w:t xml:space="preserve">) </w:t>
      </w:r>
      <w:r>
        <w:rPr>
          <w:rtl w:val="true"/>
        </w:rPr>
        <w:t>בעבירה של תקיפה סתם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העובדות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13/3/10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2:30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הגיעו הנאשם ושותפיו</w:t>
      </w:r>
      <w:r>
        <w:rPr>
          <w:rtl w:val="true"/>
        </w:rPr>
        <w:t xml:space="preserve">, </w:t>
      </w:r>
      <w:r>
        <w:rPr>
          <w:rtl w:val="true"/>
        </w:rPr>
        <w:t xml:space="preserve">מוחמד הייב ומוסטפא הייב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השותפים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b/>
          <w:b/>
          <w:bCs/>
          <w:rtl w:val="true"/>
        </w:rPr>
        <w:t>מוסטפא</w:t>
      </w:r>
      <w:r>
        <w:rPr>
          <w:rtl w:val="true"/>
        </w:rPr>
        <w:t xml:space="preserve">" </w:t>
      </w:r>
      <w:r>
        <w:rPr>
          <w:rtl w:val="true"/>
        </w:rPr>
        <w:t>בהתאמה</w:t>
      </w:r>
      <w:r>
        <w:rPr>
          <w:rtl w:val="true"/>
        </w:rPr>
        <w:t xml:space="preserve">) </w:t>
      </w:r>
      <w:r>
        <w:rPr>
          <w:rtl w:val="true"/>
        </w:rPr>
        <w:t xml:space="preserve">למסעדת </w:t>
      </w:r>
      <w:r>
        <w:rPr>
          <w:rtl w:val="true"/>
        </w:rPr>
        <w:t>"</w:t>
      </w:r>
      <w:r>
        <w:rPr>
          <w:rtl w:val="true"/>
        </w:rPr>
        <w:t>מטבלים</w:t>
      </w:r>
      <w:r>
        <w:rPr>
          <w:rtl w:val="true"/>
        </w:rPr>
        <w:t xml:space="preserve">" </w:t>
      </w:r>
      <w:r>
        <w:rPr>
          <w:rtl w:val="true"/>
        </w:rPr>
        <w:t>בראש פינה</w:t>
      </w:r>
      <w:r>
        <w:rPr>
          <w:rtl w:val="true"/>
        </w:rPr>
        <w:t xml:space="preserve">, </w:t>
      </w:r>
      <w:r>
        <w:rPr>
          <w:rtl w:val="true"/>
        </w:rPr>
        <w:t>בה עבד הנאשם</w:t>
      </w:r>
      <w:r>
        <w:rPr>
          <w:rtl w:val="true"/>
        </w:rPr>
        <w:t xml:space="preserve">. </w:t>
      </w:r>
      <w:r>
        <w:rPr>
          <w:rtl w:val="true"/>
        </w:rPr>
        <w:t>הנאשם והשותפים ניסרו את מנעול דלת המשרד</w:t>
      </w:r>
      <w:r>
        <w:rPr>
          <w:rtl w:val="true"/>
        </w:rPr>
        <w:t xml:space="preserve">, </w:t>
      </w:r>
      <w:r>
        <w:rPr>
          <w:rtl w:val="true"/>
        </w:rPr>
        <w:t xml:space="preserve">התפרצו אליו וגנבו ממנו רובה אוויר מסוג </w:t>
      </w:r>
      <w:r>
        <w:rPr>
          <w:rtl w:val="true"/>
        </w:rPr>
        <w:t>"</w:t>
      </w:r>
      <w:r>
        <w:rPr>
          <w:rtl w:val="true"/>
        </w:rPr>
        <w:t>דיאנה פרופשיונל</w:t>
      </w:r>
      <w:r>
        <w:rPr>
          <w:rtl w:val="true"/>
        </w:rPr>
        <w:t xml:space="preserve">",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01342587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 הגנוב</w:t>
      </w:r>
      <w:r>
        <w:rPr>
          <w:rtl w:val="true"/>
        </w:rPr>
        <w:t xml:space="preserve">"), </w:t>
      </w:r>
      <w:r>
        <w:rPr>
          <w:rtl w:val="true"/>
        </w:rPr>
        <w:t>אשר שייך לבעל המסעדה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ביום </w:t>
      </w:r>
      <w:r>
        <w:rPr/>
        <w:t>15/3/10</w:t>
      </w:r>
      <w:r>
        <w:rPr>
          <w:rtl w:val="true"/>
        </w:rPr>
        <w:t xml:space="preserve"> </w:t>
      </w:r>
      <w:r>
        <w:rPr>
          <w:rtl w:val="true"/>
        </w:rPr>
        <w:t>עבד הנאשם במסעדה</w:t>
      </w:r>
      <w:r>
        <w:rPr>
          <w:rtl w:val="true"/>
        </w:rPr>
        <w:t xml:space="preserve">. </w:t>
      </w:r>
      <w:r>
        <w:rPr>
          <w:rtl w:val="true"/>
        </w:rPr>
        <w:t>עם סיום עבודתו בסמוך לחצות</w:t>
      </w:r>
      <w:r>
        <w:rPr>
          <w:rtl w:val="true"/>
        </w:rPr>
        <w:t xml:space="preserve">, </w:t>
      </w:r>
      <w:r>
        <w:rPr>
          <w:rtl w:val="true"/>
        </w:rPr>
        <w:t>שב לכפרו</w:t>
      </w:r>
      <w:r>
        <w:rPr>
          <w:rtl w:val="true"/>
        </w:rPr>
        <w:t xml:space="preserve">, </w:t>
      </w:r>
      <w:r>
        <w:rPr>
          <w:rtl w:val="true"/>
        </w:rPr>
        <w:t>טובא</w:t>
      </w:r>
      <w:r>
        <w:rPr>
          <w:rtl w:val="true"/>
        </w:rPr>
        <w:t xml:space="preserve">, </w:t>
      </w:r>
      <w:r>
        <w:rPr>
          <w:rtl w:val="true"/>
        </w:rPr>
        <w:t xml:space="preserve">באמצעות </w:t>
      </w:r>
      <w:r>
        <w:rPr>
          <w:rtl w:val="true"/>
        </w:rPr>
        <w:t>"</w:t>
      </w:r>
      <w:r>
        <w:rPr>
          <w:rtl w:val="true"/>
        </w:rPr>
        <w:t>טרמפ</w:t>
      </w:r>
      <w:r>
        <w:rPr>
          <w:rtl w:val="true"/>
        </w:rPr>
        <w:t xml:space="preserve">". </w:t>
      </w:r>
      <w:r>
        <w:rPr>
          <w:rtl w:val="true"/>
        </w:rPr>
        <w:t>עם הגיעו לכפר וברדתו מן הטרמפ</w:t>
      </w:r>
      <w:r>
        <w:rPr>
          <w:rtl w:val="true"/>
        </w:rPr>
        <w:t xml:space="preserve">, </w:t>
      </w:r>
      <w:r>
        <w:rPr>
          <w:rtl w:val="true"/>
        </w:rPr>
        <w:t>חלפו במקום השותפים</w:t>
      </w:r>
      <w:r>
        <w:rPr>
          <w:rtl w:val="true"/>
        </w:rPr>
        <w:t xml:space="preserve">, </w:t>
      </w:r>
      <w:r>
        <w:rPr>
          <w:rtl w:val="true"/>
        </w:rPr>
        <w:t>אשר  נסעו ברכבו של מוחמד מסוג מזדה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36-340-19</w:t>
      </w:r>
      <w:r>
        <w:rPr>
          <w:rtl w:val="true"/>
        </w:rPr>
        <w:t xml:space="preserve">. </w:t>
      </w:r>
      <w:r>
        <w:rPr>
          <w:rtl w:val="true"/>
        </w:rPr>
        <w:t>משראו את הנאשם</w:t>
      </w:r>
      <w:r>
        <w:rPr>
          <w:rtl w:val="true"/>
        </w:rPr>
        <w:t xml:space="preserve">, </w:t>
      </w:r>
      <w:r>
        <w:rPr>
          <w:rtl w:val="true"/>
        </w:rPr>
        <w:t>צפרו לו ועצרו את רכבם</w:t>
      </w:r>
      <w:r>
        <w:rPr>
          <w:rtl w:val="true"/>
        </w:rPr>
        <w:t xml:space="preserve">. </w:t>
      </w:r>
      <w:r>
        <w:rPr>
          <w:rtl w:val="true"/>
        </w:rPr>
        <w:t>מוחמד ירד מן הרכב והזמין את הנאשם להצטרף אליהם</w:t>
      </w:r>
      <w:r>
        <w:rPr>
          <w:rtl w:val="true"/>
        </w:rPr>
        <w:t xml:space="preserve">. </w:t>
      </w:r>
      <w:r>
        <w:rPr>
          <w:rtl w:val="true"/>
        </w:rPr>
        <w:t>הנאשם ניגש לרכב</w:t>
      </w:r>
      <w:r>
        <w:rPr>
          <w:rtl w:val="true"/>
        </w:rPr>
        <w:t xml:space="preserve">, </w:t>
      </w:r>
      <w:r>
        <w:rPr>
          <w:rtl w:val="true"/>
        </w:rPr>
        <w:t>ואז ביקשו ממנו השותפים לשבת ליד מושב הנהג ברכב ולנהוג ברכב</w:t>
      </w:r>
      <w:r>
        <w:rPr>
          <w:rtl w:val="true"/>
        </w:rPr>
        <w:t xml:space="preserve">. </w:t>
      </w:r>
      <w:r>
        <w:rPr>
          <w:rtl w:val="true"/>
        </w:rPr>
        <w:t>הנאשם נעתר לבקשתם והסיע את השותפים לכיוון יסוד המעלה</w:t>
      </w:r>
      <w:r>
        <w:rPr>
          <w:rtl w:val="true"/>
        </w:rPr>
        <w:t xml:space="preserve">, </w:t>
      </w:r>
      <w:r>
        <w:rPr>
          <w:rtl w:val="true"/>
        </w:rPr>
        <w:t>זאת חרף העובדה שאין לו</w:t>
      </w:r>
      <w:r>
        <w:rPr>
          <w:rtl w:val="true"/>
        </w:rPr>
        <w:t xml:space="preserve">, </w:t>
      </w:r>
      <w:r>
        <w:rPr>
          <w:rtl w:val="true"/>
        </w:rPr>
        <w:t>ומעולם לא היה לו</w:t>
      </w:r>
      <w:r>
        <w:rPr>
          <w:rtl w:val="true"/>
        </w:rPr>
        <w:t xml:space="preserve">, </w:t>
      </w:r>
      <w:r>
        <w:rPr>
          <w:rtl w:val="true"/>
        </w:rPr>
        <w:t>רישיון נהיגה</w:t>
      </w:r>
      <w:r>
        <w:rPr>
          <w:rtl w:val="true"/>
        </w:rPr>
        <w:t xml:space="preserve">, </w:t>
      </w:r>
      <w:r>
        <w:rPr>
          <w:rtl w:val="true"/>
        </w:rPr>
        <w:t>ושעה שהוא אינו מבוטח בפוליסת ביטוח בת</w:t>
      </w:r>
      <w:r>
        <w:rPr>
          <w:rtl w:val="true"/>
        </w:rPr>
        <w:t>-</w:t>
      </w:r>
      <w:r>
        <w:rPr>
          <w:rtl w:val="true"/>
        </w:rPr>
        <w:t>תוקף</w:t>
      </w:r>
      <w:r>
        <w:rPr>
          <w:rtl w:val="true"/>
        </w:rPr>
        <w:t xml:space="preserve">. </w:t>
      </w:r>
      <w:r>
        <w:rPr>
          <w:rtl w:val="true"/>
        </w:rPr>
        <w:t>במהלך נסיעתם</w:t>
      </w:r>
      <w:r>
        <w:rPr>
          <w:rtl w:val="true"/>
        </w:rPr>
        <w:t xml:space="preserve">, </w:t>
      </w:r>
      <w:r>
        <w:rPr>
          <w:rtl w:val="true"/>
        </w:rPr>
        <w:t xml:space="preserve">סיפרו השותפים לנאשם כי בכוונתם לבצע שוד בתחנת הדלק אשר בצומת יסוד המעלה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הצומת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בהתאם לאמור</w:t>
      </w:r>
      <w:r>
        <w:rPr>
          <w:rtl w:val="true"/>
        </w:rPr>
        <w:t xml:space="preserve">, </w:t>
      </w:r>
      <w:r>
        <w:rPr>
          <w:rtl w:val="true"/>
        </w:rPr>
        <w:t>הגיעו הנאשם והשותפים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16/3/10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1:50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ברכב לצומת</w:t>
      </w:r>
      <w:r>
        <w:rPr>
          <w:rtl w:val="true"/>
        </w:rPr>
        <w:t xml:space="preserve">, </w:t>
      </w:r>
      <w:r>
        <w:rPr>
          <w:rtl w:val="true"/>
        </w:rPr>
        <w:t>כאשר הנאשם נוהג ברכב</w:t>
      </w:r>
      <w:r>
        <w:rPr>
          <w:rtl w:val="true"/>
        </w:rPr>
        <w:t xml:space="preserve">, </w:t>
      </w:r>
      <w:r>
        <w:rPr>
          <w:rtl w:val="true"/>
        </w:rPr>
        <w:t>מחמוד לצידו</w:t>
      </w:r>
      <w:r>
        <w:rPr>
          <w:rtl w:val="true"/>
        </w:rPr>
        <w:t xml:space="preserve">, </w:t>
      </w:r>
      <w:r>
        <w:rPr>
          <w:rtl w:val="true"/>
        </w:rPr>
        <w:t>ומוסטפא יושב מאחור</w:t>
      </w:r>
      <w:r>
        <w:rPr>
          <w:rtl w:val="true"/>
        </w:rPr>
        <w:t xml:space="preserve">. </w:t>
      </w:r>
      <w:r>
        <w:rPr>
          <w:rtl w:val="true"/>
        </w:rPr>
        <w:t>השותפים הגיעו מצוידים בנשק אותו גנבו מהמסעדה</w:t>
      </w:r>
      <w:r>
        <w:rPr>
          <w:rtl w:val="true"/>
        </w:rPr>
        <w:t xml:space="preserve">, </w:t>
      </w:r>
      <w:r>
        <w:rPr>
          <w:rtl w:val="true"/>
        </w:rPr>
        <w:t>בכובעי גרב</w:t>
      </w:r>
      <w:r>
        <w:rPr>
          <w:rtl w:val="true"/>
        </w:rPr>
        <w:t xml:space="preserve">, </w:t>
      </w:r>
      <w:r>
        <w:rPr>
          <w:rtl w:val="true"/>
        </w:rPr>
        <w:t>בכפפות</w:t>
      </w:r>
      <w:r>
        <w:rPr>
          <w:rtl w:val="true"/>
        </w:rPr>
        <w:t xml:space="preserve">, </w:t>
      </w:r>
      <w:r>
        <w:rPr>
          <w:rtl w:val="true"/>
        </w:rPr>
        <w:t>באלה מעץ ובתיק ירוק קטן</w:t>
      </w:r>
      <w:r>
        <w:rPr>
          <w:rtl w:val="true"/>
        </w:rPr>
        <w:t xml:space="preserve">. </w:t>
      </w:r>
      <w:r>
        <w:rPr>
          <w:rtl w:val="true"/>
        </w:rPr>
        <w:t>עם הגיעם לצומת</w:t>
      </w:r>
      <w:r>
        <w:rPr>
          <w:rtl w:val="true"/>
        </w:rPr>
        <w:t xml:space="preserve">, </w:t>
      </w:r>
      <w:r>
        <w:rPr>
          <w:rtl w:val="true"/>
        </w:rPr>
        <w:t>ערכו הנאשם והשותפים סיור הכנה באזור תחנת הדלק שבצומת</w:t>
      </w:r>
      <w:r>
        <w:rPr>
          <w:rtl w:val="true"/>
        </w:rPr>
        <w:t xml:space="preserve">, </w:t>
      </w:r>
      <w:r>
        <w:rPr>
          <w:rtl w:val="true"/>
        </w:rPr>
        <w:t xml:space="preserve">ואז נכנסו לחנית מלון </w:t>
      </w:r>
      <w:r>
        <w:rPr>
          <w:rtl w:val="true"/>
        </w:rPr>
        <w:t>"</w:t>
      </w:r>
      <w:r>
        <w:rPr>
          <w:rtl w:val="true"/>
        </w:rPr>
        <w:t>אטאפ</w:t>
      </w:r>
      <w:r>
        <w:rPr>
          <w:rtl w:val="true"/>
        </w:rPr>
        <w:t xml:space="preserve">", </w:t>
      </w:r>
      <w:r>
        <w:rPr>
          <w:rtl w:val="true"/>
        </w:rPr>
        <w:t>השוכן סמוך לצומת ועצרו בה</w:t>
      </w:r>
      <w:r>
        <w:rPr>
          <w:rtl w:val="true"/>
        </w:rPr>
        <w:t xml:space="preserve">. </w:t>
      </w:r>
      <w:r>
        <w:rPr>
          <w:rtl w:val="true"/>
        </w:rPr>
        <w:t>בחניית המלון חבשו השותפים כובעי גרב וכפפות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משסיימו השותפים להתארגן</w:t>
      </w:r>
      <w:r>
        <w:rPr>
          <w:rtl w:val="true"/>
        </w:rPr>
        <w:t xml:space="preserve">, </w:t>
      </w:r>
      <w:r>
        <w:rPr>
          <w:rtl w:val="true"/>
        </w:rPr>
        <w:t>המשיך הנאשם בנסיעה מחניית המלון ונכנס למתחם תחנת הדלק הסמוכה</w:t>
      </w:r>
      <w:r>
        <w:rPr>
          <w:rtl w:val="true"/>
        </w:rPr>
        <w:t xml:space="preserve">. </w:t>
      </w:r>
      <w:r>
        <w:rPr>
          <w:rtl w:val="true"/>
        </w:rPr>
        <w:t xml:space="preserve">הנאשם עצר את הרכב בסמוך לכניסה לחנות </w:t>
      </w:r>
      <w:r>
        <w:rPr>
          <w:rtl w:val="true"/>
        </w:rPr>
        <w:t>"</w:t>
      </w:r>
      <w:r>
        <w:rPr/>
        <w:t>So Good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המצויה במתחם תחנת הדלק</w:t>
      </w:r>
      <w:r>
        <w:rPr>
          <w:rtl w:val="true"/>
        </w:rPr>
        <w:t xml:space="preserve">, </w:t>
      </w:r>
      <w:r>
        <w:rPr>
          <w:rtl w:val="true"/>
        </w:rPr>
        <w:t>והשותפים ירדו מן הרכב</w:t>
      </w:r>
      <w:r>
        <w:rPr>
          <w:rtl w:val="true"/>
        </w:rPr>
        <w:t xml:space="preserve">, </w:t>
      </w:r>
      <w:r>
        <w:rPr>
          <w:rtl w:val="true"/>
        </w:rPr>
        <w:t>כשמוחמד מצויד בנשק הגנוב ומוסטפא מצויד באלה מעץ ובתיק הירוק</w:t>
      </w:r>
      <w:r>
        <w:rPr>
          <w:rtl w:val="true"/>
        </w:rPr>
        <w:t xml:space="preserve">. </w:t>
      </w:r>
      <w:r>
        <w:rPr>
          <w:rtl w:val="true"/>
        </w:rPr>
        <w:t>הנאשם נותר ברכב והמתין לשותפים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השותפים נכנסו לחנות</w:t>
      </w:r>
      <w:r>
        <w:rPr>
          <w:rtl w:val="true"/>
        </w:rPr>
        <w:t xml:space="preserve">, </w:t>
      </w:r>
      <w:r>
        <w:rPr>
          <w:rtl w:val="true"/>
        </w:rPr>
        <w:t xml:space="preserve">בה שהה אותה עת המתדלק ים קרקו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המתדלק</w:t>
      </w:r>
      <w:r>
        <w:rPr>
          <w:rtl w:val="true"/>
        </w:rPr>
        <w:t xml:space="preserve">"). </w:t>
      </w:r>
      <w:r>
        <w:rPr>
          <w:rtl w:val="true"/>
        </w:rPr>
        <w:t>מוסטפא מסר למתדלק את התיק הירוק ומוחמד הורה לו למלא את התיק בכסף</w:t>
      </w:r>
      <w:r>
        <w:rPr>
          <w:rtl w:val="true"/>
        </w:rPr>
        <w:t xml:space="preserve">, </w:t>
      </w:r>
      <w:r>
        <w:rPr>
          <w:rtl w:val="true"/>
        </w:rPr>
        <w:t>תוך שהוא מכוון לעברו את הנשק ומאיים עליו באומרו</w:t>
      </w:r>
      <w:r>
        <w:rPr>
          <w:rtl w:val="true"/>
        </w:rPr>
        <w:t>: "</w:t>
      </w:r>
      <w:r>
        <w:rPr>
          <w:rtl w:val="true"/>
        </w:rPr>
        <w:t>שים את הכסף מיד בתיק או שאני יורה לך בראש</w:t>
      </w:r>
      <w:r>
        <w:rPr>
          <w:rtl w:val="true"/>
        </w:rPr>
        <w:t xml:space="preserve">". </w:t>
      </w:r>
      <w:r>
        <w:rPr>
          <w:rtl w:val="true"/>
        </w:rPr>
        <w:t>המתדלק ציית והחל ממלא את התיק הירוק בכסף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דרש מוחמד מהמתדלק כי ימסור לידיו גם את הכסף המצוי בכספת ואיים עליו באומרו</w:t>
      </w:r>
      <w:r>
        <w:rPr>
          <w:rtl w:val="true"/>
        </w:rPr>
        <w:t>: "</w:t>
      </w:r>
      <w:r>
        <w:rPr>
          <w:rtl w:val="true"/>
        </w:rPr>
        <w:t>תביא לי גם את הכסף שבכספת</w:t>
      </w:r>
      <w:r>
        <w:rPr>
          <w:rtl w:val="true"/>
        </w:rPr>
        <w:t xml:space="preserve">, </w:t>
      </w:r>
      <w:r>
        <w:rPr>
          <w:rtl w:val="true"/>
        </w:rPr>
        <w:t>אם לא אני מפוצץ לך את הראש</w:t>
      </w:r>
      <w:r>
        <w:rPr>
          <w:rtl w:val="true"/>
        </w:rPr>
        <w:t xml:space="preserve">". </w:t>
      </w:r>
      <w:r>
        <w:rPr>
          <w:rtl w:val="true"/>
        </w:rPr>
        <w:t>במהלך כל האירוע</w:t>
      </w:r>
      <w:r>
        <w:rPr>
          <w:rtl w:val="true"/>
        </w:rPr>
        <w:t xml:space="preserve">, </w:t>
      </w:r>
      <w:r>
        <w:rPr>
          <w:rtl w:val="true"/>
        </w:rPr>
        <w:t>כיוון מוחמד את הנשק לגופו של המתדלק ואיים עליו באמצעותו</w:t>
      </w:r>
      <w:r>
        <w:rPr>
          <w:rtl w:val="true"/>
        </w:rPr>
        <w:t xml:space="preserve">, </w:t>
      </w:r>
      <w:r>
        <w:rPr>
          <w:rtl w:val="true"/>
        </w:rPr>
        <w:t>ואילו מוסטפא איים עליו באמצעות האלה</w:t>
      </w:r>
      <w:r>
        <w:rPr>
          <w:rtl w:val="true"/>
        </w:rPr>
        <w:t xml:space="preserve">. </w:t>
        <w:tab/>
        <w:br/>
        <w:br/>
      </w:r>
      <w:r>
        <w:rPr>
          <w:rtl w:val="true"/>
        </w:rPr>
        <w:t>כעבור זמן מה</w:t>
      </w:r>
      <w:r>
        <w:rPr>
          <w:rtl w:val="true"/>
        </w:rPr>
        <w:t xml:space="preserve">, </w:t>
      </w:r>
      <w:r>
        <w:rPr>
          <w:rtl w:val="true"/>
        </w:rPr>
        <w:t>קרב מוסטפא למתדלק</w:t>
      </w:r>
      <w:r>
        <w:rPr>
          <w:rtl w:val="true"/>
        </w:rPr>
        <w:t xml:space="preserve">, </w:t>
      </w:r>
      <w:r>
        <w:rPr>
          <w:rtl w:val="true"/>
        </w:rPr>
        <w:t>קירב לראשו את האלה</w:t>
      </w:r>
      <w:r>
        <w:rPr>
          <w:rtl w:val="true"/>
        </w:rPr>
        <w:t xml:space="preserve">, </w:t>
      </w:r>
      <w:r>
        <w:rPr>
          <w:rtl w:val="true"/>
        </w:rPr>
        <w:t>והורה לו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למסור לידיהם את הכסף שבכספת</w:t>
      </w:r>
      <w:r>
        <w:rPr>
          <w:rtl w:val="true"/>
        </w:rPr>
        <w:t xml:space="preserve">. </w:t>
      </w:r>
      <w:r>
        <w:rPr>
          <w:rtl w:val="true"/>
        </w:rPr>
        <w:t>המתדלק הראה למוסטפא את הארון בו מצויה הכספת והסביר לו כי אין לו גישה לכסף שבכספת</w:t>
      </w:r>
      <w:r>
        <w:rPr>
          <w:rtl w:val="true"/>
        </w:rPr>
        <w:t xml:space="preserve">. </w:t>
      </w:r>
      <w:r>
        <w:rPr>
          <w:rtl w:val="true"/>
        </w:rPr>
        <w:t>מוסטפא ניגש לקופה ונטל ממנה את יתרת הכסף שהייתה מצויה בה</w:t>
      </w:r>
      <w:r>
        <w:rPr>
          <w:rtl w:val="true"/>
        </w:rPr>
        <w:t xml:space="preserve">. </w:t>
      </w:r>
      <w:r>
        <w:rPr>
          <w:rtl w:val="true"/>
        </w:rPr>
        <w:t>השותפים גנבו מהתחנה</w:t>
      </w:r>
      <w:r>
        <w:rPr>
          <w:rtl w:val="true"/>
        </w:rPr>
        <w:t xml:space="preserve">, </w:t>
      </w:r>
      <w:r>
        <w:rPr>
          <w:rtl w:val="true"/>
        </w:rPr>
        <w:t>במהלך השוד</w:t>
      </w:r>
      <w:r>
        <w:rPr>
          <w:rtl w:val="true"/>
        </w:rPr>
        <w:t xml:space="preserve">, </w:t>
      </w:r>
      <w:r>
        <w:rPr>
          <w:rtl w:val="true"/>
        </w:rPr>
        <w:t xml:space="preserve">סך של </w:t>
      </w:r>
      <w:r>
        <w:rPr/>
        <w:t>1,073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נטלו השותפים את התיק הירוק עם השלל</w:t>
      </w:r>
      <w:r>
        <w:rPr>
          <w:rtl w:val="true"/>
        </w:rPr>
        <w:t xml:space="preserve">, </w:t>
      </w:r>
      <w:r>
        <w:rPr>
          <w:rtl w:val="true"/>
        </w:rPr>
        <w:t>יצאו מהחנות ועלו לרכב</w:t>
      </w:r>
      <w:r>
        <w:rPr>
          <w:rtl w:val="true"/>
        </w:rPr>
        <w:t xml:space="preserve">, </w:t>
      </w:r>
      <w:r>
        <w:rPr>
          <w:rtl w:val="true"/>
        </w:rPr>
        <w:t>בו המתין להם הנאשם</w:t>
      </w:r>
      <w:r>
        <w:rPr>
          <w:rtl w:val="true"/>
        </w:rPr>
        <w:t xml:space="preserve">. </w:t>
      </w:r>
      <w:r>
        <w:rPr>
          <w:rtl w:val="true"/>
        </w:rPr>
        <w:t>הנאשם והשותפים נמלטו ברכבם לעבר נהר הירדן</w:t>
      </w:r>
      <w:r>
        <w:rPr>
          <w:rtl w:val="true"/>
        </w:rPr>
        <w:t xml:space="preserve">, </w:t>
      </w:r>
      <w:r>
        <w:rPr>
          <w:rtl w:val="true"/>
        </w:rPr>
        <w:t xml:space="preserve">וכעבור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התחלפו ביניהם</w:t>
      </w:r>
      <w:r>
        <w:rPr>
          <w:rtl w:val="true"/>
        </w:rPr>
        <w:t xml:space="preserve">, </w:t>
      </w:r>
      <w:r>
        <w:rPr>
          <w:rtl w:val="true"/>
        </w:rPr>
        <w:t>כך שמוחמד עבר לנהוג ברכב</w:t>
      </w:r>
      <w:r>
        <w:rPr>
          <w:rtl w:val="true"/>
        </w:rPr>
        <w:t xml:space="preserve">. </w:t>
      </w:r>
      <w:r>
        <w:rPr>
          <w:rtl w:val="true"/>
        </w:rPr>
        <w:t>באזור צומת גדות הבחינה ברכב ניידת משטרה</w:t>
      </w:r>
      <w:r>
        <w:rPr>
          <w:rtl w:val="true"/>
        </w:rPr>
        <w:t xml:space="preserve">, </w:t>
      </w:r>
      <w:r>
        <w:rPr>
          <w:rtl w:val="true"/>
        </w:rPr>
        <w:t>אשר עודכנה באירוע השוד</w:t>
      </w:r>
      <w:r>
        <w:rPr>
          <w:rtl w:val="true"/>
        </w:rPr>
        <w:t xml:space="preserve">, </w:t>
      </w:r>
      <w:r>
        <w:rPr>
          <w:rtl w:val="true"/>
        </w:rPr>
        <w:t>וזו החלה לדלוק אחר הרכב</w:t>
      </w:r>
      <w:r>
        <w:rPr>
          <w:rtl w:val="true"/>
        </w:rPr>
        <w:t xml:space="preserve">. </w:t>
      </w:r>
      <w:r>
        <w:rPr>
          <w:rtl w:val="true"/>
        </w:rPr>
        <w:t>מוחמד המשיך בנסיעה מהירה ונכנס לדרך עפר אשר מתפתלת במקביל לתוואי הירדן ההררי</w:t>
      </w:r>
      <w:r>
        <w:rPr>
          <w:rtl w:val="true"/>
        </w:rPr>
        <w:t xml:space="preserve">. </w:t>
      </w:r>
      <w:r>
        <w:rPr>
          <w:rtl w:val="true"/>
        </w:rPr>
        <w:t>אותה עת</w:t>
      </w:r>
      <w:r>
        <w:rPr>
          <w:rtl w:val="true"/>
        </w:rPr>
        <w:t xml:space="preserve">, </w:t>
      </w:r>
      <w:r>
        <w:rPr>
          <w:rtl w:val="true"/>
        </w:rPr>
        <w:t>הצטרפה למרדף ניידת נוספת אשר הגיעה מכיוון הגולן</w:t>
      </w:r>
      <w:r>
        <w:rPr>
          <w:rtl w:val="true"/>
        </w:rPr>
        <w:t xml:space="preserve">. </w:t>
      </w:r>
      <w:r>
        <w:rPr>
          <w:rtl w:val="true"/>
        </w:rPr>
        <w:t>הנאשם והשותפים נסעו בדרך הירדן ההררי מספר קילומטרים</w:t>
      </w:r>
      <w:r>
        <w:rPr>
          <w:rtl w:val="true"/>
        </w:rPr>
        <w:t xml:space="preserve">, </w:t>
      </w:r>
      <w:r>
        <w:rPr>
          <w:rtl w:val="true"/>
        </w:rPr>
        <w:t>כאשר שתי ניידות המשטרה נוסעות בעקבותיהם</w:t>
      </w:r>
      <w:r>
        <w:rPr>
          <w:rtl w:val="true"/>
        </w:rPr>
        <w:t xml:space="preserve">. </w:t>
      </w:r>
      <w:r>
        <w:rPr>
          <w:rtl w:val="true"/>
        </w:rPr>
        <w:t>במהלך המרדף</w:t>
      </w:r>
      <w:r>
        <w:rPr>
          <w:rtl w:val="true"/>
        </w:rPr>
        <w:t xml:space="preserve">, </w:t>
      </w:r>
      <w:r>
        <w:rPr>
          <w:rtl w:val="true"/>
        </w:rPr>
        <w:t>ובשל תוואי הדרך הקשה</w:t>
      </w:r>
      <w:r>
        <w:rPr>
          <w:rtl w:val="true"/>
        </w:rPr>
        <w:t xml:space="preserve">, </w:t>
      </w:r>
      <w:r>
        <w:rPr>
          <w:rtl w:val="true"/>
        </w:rPr>
        <w:t>התפרקו חלקים מרכבם של הנאשמים ושמן ניגר מרכבם</w:t>
      </w:r>
      <w:r>
        <w:rPr>
          <w:rtl w:val="true"/>
        </w:rPr>
        <w:t xml:space="preserve">. </w:t>
      </w:r>
      <w:r>
        <w:rPr>
          <w:rtl w:val="true"/>
        </w:rPr>
        <w:t>במהלך המרדף</w:t>
      </w:r>
      <w:r>
        <w:rPr>
          <w:rtl w:val="true"/>
        </w:rPr>
        <w:t xml:space="preserve">, </w:t>
      </w:r>
      <w:r>
        <w:rPr>
          <w:rtl w:val="true"/>
        </w:rPr>
        <w:t>כחצי קילומטר לפני היישוב כרכום</w:t>
      </w:r>
      <w:r>
        <w:rPr>
          <w:rtl w:val="true"/>
        </w:rPr>
        <w:t xml:space="preserve">, </w:t>
      </w:r>
      <w:r>
        <w:rPr>
          <w:rtl w:val="true"/>
        </w:rPr>
        <w:t>נפל רכבם של הנאשמים לתעלה בצד הדרך ונתקע</w:t>
      </w:r>
      <w:r>
        <w:rPr>
          <w:rtl w:val="true"/>
        </w:rPr>
        <w:t xml:space="preserve">. </w:t>
        <w:tab/>
        <w:br/>
        <w:br/>
      </w:r>
      <w:r>
        <w:rPr>
          <w:rtl w:val="true"/>
        </w:rPr>
        <w:t>הנאשם והשותפים ירדו מהרכב</w:t>
      </w:r>
      <w:r>
        <w:rPr>
          <w:rtl w:val="true"/>
        </w:rPr>
        <w:t xml:space="preserve">, </w:t>
      </w:r>
      <w:r>
        <w:rPr>
          <w:rtl w:val="true"/>
        </w:rPr>
        <w:t>וברחו ברגל אל תוך החורש הטבעי המצוי במקום</w:t>
      </w:r>
      <w:r>
        <w:rPr>
          <w:rtl w:val="true"/>
        </w:rPr>
        <w:t xml:space="preserve">, </w:t>
      </w:r>
      <w:r>
        <w:rPr>
          <w:rtl w:val="true"/>
        </w:rPr>
        <w:t>במטרה להימלט מהשוטרים</w:t>
      </w:r>
      <w:r>
        <w:rPr>
          <w:rtl w:val="true"/>
        </w:rPr>
        <w:t xml:space="preserve">. </w:t>
      </w:r>
      <w:r>
        <w:rPr>
          <w:rtl w:val="true"/>
        </w:rPr>
        <w:t>בסריקות שערכו השוטרים נעצרו הנאשם ומוחמד ואילו מוסטפא הצליח להימלט ונעצר רק מאוחר יותר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 xml:space="preserve">עובדות התיק שצורף </w:t>
      </w:r>
      <w:r>
        <w:rPr>
          <w:rtl w:val="true"/>
        </w:rPr>
        <w:t>(</w:t>
      </w:r>
      <w:hyperlink r:id="rId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173-03-09</w:t>
        </w:r>
      </w:hyperlink>
      <w:r>
        <w:rPr>
          <w:rtl w:val="true"/>
        </w:rPr>
        <w:t xml:space="preserve"> </w:t>
      </w:r>
      <w:r>
        <w:rPr>
          <w:rtl w:val="true"/>
        </w:rPr>
        <w:t>בבית משפט השלום לנוער בצפת</w:t>
      </w:r>
      <w:r>
        <w:rPr>
          <w:rtl w:val="true"/>
        </w:rPr>
        <w:t xml:space="preserve">), </w:t>
      </w:r>
      <w:r>
        <w:rPr>
          <w:rtl w:val="true"/>
        </w:rPr>
        <w:t>הנן כדלקמן</w:t>
      </w:r>
      <w:r>
        <w:rPr>
          <w:rtl w:val="true"/>
        </w:rPr>
        <w:t xml:space="preserve">: </w:t>
      </w:r>
      <w:r>
        <w:rPr>
          <w:rtl w:val="true"/>
        </w:rPr>
        <w:t xml:space="preserve">בתאריך </w:t>
      </w:r>
      <w:r>
        <w:rPr/>
        <w:t>6/3/08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16:30</w:t>
      </w:r>
      <w:r>
        <w:rPr>
          <w:rtl w:val="true"/>
        </w:rPr>
        <w:t xml:space="preserve">, </w:t>
      </w:r>
      <w:r>
        <w:rPr>
          <w:rtl w:val="true"/>
        </w:rPr>
        <w:t>בטובא זנגריה</w:t>
      </w:r>
      <w:r>
        <w:rPr>
          <w:rtl w:val="true"/>
        </w:rPr>
        <w:t xml:space="preserve">, </w:t>
      </w:r>
      <w:r>
        <w:rPr>
          <w:rtl w:val="true"/>
        </w:rPr>
        <w:t xml:space="preserve">תקף הנאשם ביחד עם אביו את פטמה הייב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"), </w:t>
      </w:r>
      <w:r>
        <w:rPr>
          <w:rtl w:val="true"/>
        </w:rPr>
        <w:t>בכך שנכנס לחצר ביתה</w:t>
      </w:r>
      <w:r>
        <w:rPr>
          <w:rtl w:val="true"/>
        </w:rPr>
        <w:t xml:space="preserve">, </w:t>
      </w:r>
      <w:r>
        <w:rPr>
          <w:rtl w:val="true"/>
        </w:rPr>
        <w:t>תפס בשערה</w:t>
      </w:r>
      <w:r>
        <w:rPr>
          <w:rtl w:val="true"/>
        </w:rPr>
        <w:t xml:space="preserve">, </w:t>
      </w:r>
      <w:r>
        <w:rPr>
          <w:rtl w:val="true"/>
        </w:rPr>
        <w:t>הכה אותה בחלקי גופה השונים והפיל אותה ארצה ללא הסכמתה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b/>
          <w:bCs/>
          <w:u w:val="single"/>
        </w:rPr>
      </w:pPr>
      <w:r>
        <w:rPr>
          <w:rtl w:val="true"/>
        </w:rPr>
        <w:t>במסגרת הדיון שנערך לפניי</w:t>
      </w:r>
      <w:r>
        <w:rPr>
          <w:rtl w:val="true"/>
        </w:rPr>
        <w:t xml:space="preserve">, </w:t>
      </w:r>
      <w:r>
        <w:rPr>
          <w:rtl w:val="true"/>
        </w:rPr>
        <w:t>הוזמן תסקיר שירות המבחן ביחס לנאשם</w:t>
      </w:r>
      <w:r>
        <w:rPr>
          <w:rtl w:val="true"/>
        </w:rPr>
        <w:t xml:space="preserve">. </w:t>
      </w:r>
      <w:r>
        <w:rPr>
          <w:rtl w:val="true"/>
        </w:rPr>
        <w:t xml:space="preserve">בתסקיר שנערך ביום </w:t>
      </w:r>
      <w:r>
        <w:rPr/>
        <w:t>23/8/10</w:t>
      </w:r>
      <w:r>
        <w:rPr>
          <w:rtl w:val="true"/>
        </w:rPr>
        <w:t xml:space="preserve">, </w:t>
      </w:r>
      <w:r>
        <w:rPr>
          <w:rtl w:val="true"/>
        </w:rPr>
        <w:t xml:space="preserve">נמסר כי הנאשם בן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עובר למעצרו התגורר בבית הוריו בכפר טובא</w:t>
      </w:r>
      <w:r>
        <w:rPr>
          <w:rtl w:val="true"/>
        </w:rPr>
        <w:t xml:space="preserve">. </w:t>
      </w:r>
      <w:r>
        <w:rPr>
          <w:rtl w:val="true"/>
        </w:rPr>
        <w:t>שני מבין שבעה ילדים</w:t>
      </w:r>
      <w:r>
        <w:rPr>
          <w:rtl w:val="true"/>
        </w:rPr>
        <w:t xml:space="preserve">. </w:t>
      </w:r>
      <w:r>
        <w:rPr>
          <w:rtl w:val="true"/>
        </w:rPr>
        <w:t>אביו סובל מבעיות בריאות ומתקיים מקצבת נכות</w:t>
      </w:r>
      <w:r>
        <w:rPr>
          <w:rtl w:val="true"/>
        </w:rPr>
        <w:t xml:space="preserve">, </w:t>
      </w:r>
      <w:r>
        <w:rPr>
          <w:rtl w:val="true"/>
        </w:rPr>
        <w:t>אמו עקרת בית</w:t>
      </w:r>
      <w:r>
        <w:rPr>
          <w:rtl w:val="true"/>
        </w:rPr>
        <w:t xml:space="preserve">. </w:t>
      </w:r>
      <w:r>
        <w:rPr>
          <w:rtl w:val="true"/>
        </w:rPr>
        <w:t xml:space="preserve">סיים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לימוד ועזב את לימודיו על רקע הישגים נמוכים ומצוקה כלכלית במשפחתו</w:t>
      </w:r>
      <w:r>
        <w:rPr>
          <w:rtl w:val="true"/>
        </w:rPr>
        <w:t xml:space="preserve">. </w:t>
      </w:r>
      <w:r>
        <w:rPr>
          <w:rtl w:val="true"/>
        </w:rPr>
        <w:t>לאחר לימודיו עבד כשנה וחצי כשוטף כלים ושומר לילה במסעדה בראש פינה</w:t>
      </w:r>
      <w:r>
        <w:rPr>
          <w:rtl w:val="true"/>
        </w:rPr>
        <w:t xml:space="preserve">. </w:t>
      </w:r>
      <w:r>
        <w:rPr>
          <w:rtl w:val="true"/>
        </w:rPr>
        <w:t xml:space="preserve">משנת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 xml:space="preserve">ועד למעצרו עבד כשוטף כלים במסעדת </w:t>
      </w:r>
      <w:r>
        <w:rPr>
          <w:rtl w:val="true"/>
        </w:rPr>
        <w:t>"</w:t>
      </w:r>
      <w:r>
        <w:rPr>
          <w:rtl w:val="true"/>
        </w:rPr>
        <w:t>מטבלים</w:t>
      </w:r>
      <w:r>
        <w:rPr>
          <w:rtl w:val="true"/>
        </w:rPr>
        <w:t xml:space="preserve">" </w:t>
      </w:r>
      <w:r>
        <w:rPr>
          <w:rtl w:val="true"/>
        </w:rPr>
        <w:t>ובמסעדה נוספת בראש פינה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עובד מגיל צעיר ותומך כספית במשפחתו</w:t>
      </w:r>
      <w:r>
        <w:rPr>
          <w:rtl w:val="true"/>
        </w:rPr>
        <w:t xml:space="preserve">. </w:t>
      </w:r>
      <w:r>
        <w:rPr>
          <w:rtl w:val="true"/>
        </w:rPr>
        <w:t>הנאשם מגלה אחריות כלפי בני משפחתו</w:t>
      </w:r>
      <w:r>
        <w:rPr>
          <w:rtl w:val="true"/>
        </w:rPr>
        <w:t xml:space="preserve">, </w:t>
      </w:r>
      <w:r>
        <w:rPr>
          <w:rtl w:val="true"/>
        </w:rPr>
        <w:t>וחווה תלות כלכלית ורגשית מצדם כלפיו</w:t>
      </w:r>
      <w:r>
        <w:rPr>
          <w:rtl w:val="true"/>
        </w:rPr>
        <w:t xml:space="preserve">. </w:t>
      </w:r>
      <w:r>
        <w:rPr>
          <w:rtl w:val="true"/>
        </w:rPr>
        <w:t>הנאשם חווה מצוקה נפשית כתוצאה משהותו במעצר</w:t>
      </w:r>
      <w:r>
        <w:rPr>
          <w:rtl w:val="true"/>
        </w:rPr>
        <w:t xml:space="preserve">, </w:t>
      </w:r>
      <w:r>
        <w:rPr>
          <w:rtl w:val="true"/>
        </w:rPr>
        <w:t>הראשון בחייו</w:t>
      </w:r>
      <w:r>
        <w:rPr>
          <w:rtl w:val="true"/>
        </w:rPr>
        <w:t xml:space="preserve">. </w:t>
      </w:r>
      <w:r>
        <w:rPr>
          <w:rtl w:val="true"/>
        </w:rPr>
        <w:t xml:space="preserve">עוד לדברי הנאשם הוא התנדב לשירות צבאי קרבי וגיוסו נקבע לחודש אוגוסט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גיוסו לא יצא לפועל עקב מעצרו</w:t>
      </w:r>
      <w:r>
        <w:rPr>
          <w:rtl w:val="true"/>
        </w:rPr>
        <w:t xml:space="preserve">. </w:t>
      </w:r>
      <w:r>
        <w:rPr>
          <w:rtl w:val="true"/>
        </w:rPr>
        <w:t>לנאשם אין הרשעות קודמות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b/>
          <w:bCs/>
          <w:u w:val="single"/>
        </w:rPr>
      </w:pPr>
      <w:r>
        <w:rPr>
          <w:rtl w:val="true"/>
        </w:rPr>
        <w:t>בהתייחס לעבירות נשוא התיק דנן</w:t>
      </w:r>
      <w:r>
        <w:rPr>
          <w:rtl w:val="true"/>
        </w:rPr>
        <w:t xml:space="preserve">, </w:t>
      </w:r>
      <w:r>
        <w:rPr>
          <w:rtl w:val="true"/>
        </w:rPr>
        <w:t>התרשמות שירות המבחן הנה כי הנאשם התקשה לקחת אחריות על 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הודה מחשש לחייו ולעתידו</w:t>
      </w:r>
      <w:r>
        <w:rPr>
          <w:rtl w:val="true"/>
        </w:rPr>
        <w:t xml:space="preserve">, </w:t>
      </w:r>
      <w:r>
        <w:rPr>
          <w:rtl w:val="true"/>
        </w:rPr>
        <w:t>אף ששותפיו לעבירות איימו עליו כי ישתף עמם פעולה והוא פעל מתוך פחד מפניהם</w:t>
      </w:r>
      <w:r>
        <w:rPr>
          <w:rtl w:val="true"/>
        </w:rPr>
        <w:t xml:space="preserve">. </w:t>
      </w:r>
      <w:r>
        <w:rPr>
          <w:rtl w:val="true"/>
        </w:rPr>
        <w:t>גם ביחס לעבירת הנהיגה ללא רישיון</w:t>
      </w:r>
      <w:r>
        <w:rPr>
          <w:rtl w:val="true"/>
        </w:rPr>
        <w:t xml:space="preserve">, </w:t>
      </w:r>
      <w:r>
        <w:rPr>
          <w:rtl w:val="true"/>
        </w:rPr>
        <w:t>טען כי נהג ברכב עקב איומי השותפים</w:t>
      </w:r>
      <w:r>
        <w:rPr>
          <w:rtl w:val="true"/>
        </w:rPr>
        <w:t xml:space="preserve">. </w:t>
      </w:r>
      <w:r>
        <w:rPr>
          <w:rtl w:val="true"/>
        </w:rPr>
        <w:t>כן התרשם שירות המבחן כי הוא חווה תחושות קורבנות</w:t>
      </w:r>
      <w:r>
        <w:rPr>
          <w:rtl w:val="true"/>
        </w:rPr>
        <w:t xml:space="preserve">, </w:t>
      </w:r>
      <w:r>
        <w:rPr>
          <w:rtl w:val="true"/>
        </w:rPr>
        <w:t>ומתקשה להתחבר רגשית לקיום קווים עבריינים בהתנהגותו</w:t>
      </w:r>
      <w:r>
        <w:rPr>
          <w:rtl w:val="true"/>
        </w:rPr>
        <w:t xml:space="preserve">, </w:t>
      </w:r>
      <w:r>
        <w:rPr>
          <w:rtl w:val="true"/>
        </w:rPr>
        <w:t>ועל הכוונה הפלילית שבמעשיו</w:t>
      </w:r>
      <w:r>
        <w:rPr>
          <w:rtl w:val="true"/>
        </w:rPr>
        <w:t xml:space="preserve">, </w:t>
      </w:r>
      <w:r>
        <w:rPr>
          <w:rtl w:val="true"/>
        </w:rPr>
        <w:t>והוא נוטה להשליך את האחריות למצבו היום על שותפיו</w:t>
      </w:r>
      <w:r>
        <w:rPr>
          <w:rtl w:val="true"/>
        </w:rPr>
        <w:t xml:space="preserve">. </w:t>
      </w:r>
      <w:r>
        <w:rPr>
          <w:rtl w:val="true"/>
        </w:rPr>
        <w:t>הנאשם ביטא חרדה ומצוקה על רקע האפשרות שישלח לריצוי מאסר בפועל בין כותלי הכלא</w:t>
      </w:r>
      <w:r>
        <w:rPr>
          <w:rtl w:val="true"/>
        </w:rPr>
        <w:t xml:space="preserve">, </w:t>
      </w:r>
      <w:r>
        <w:rPr>
          <w:rtl w:val="true"/>
        </w:rPr>
        <w:t>אשר עלולה לגרום להתדרדרות ולפגוע בניסיונו לשקם את חייו ולפרנס את משפחתו</w:t>
      </w:r>
      <w:r>
        <w:rPr>
          <w:rtl w:val="true"/>
        </w:rPr>
        <w:t xml:space="preserve">. </w:t>
      </w:r>
      <w:r>
        <w:rPr>
          <w:rtl w:val="true"/>
        </w:rPr>
        <w:t>הנאשם לא ביטא נזקקות טיפולית ולא ראה צורך לערוך שינוי בדפוסי התנהגותו</w:t>
      </w:r>
      <w:r>
        <w:rPr>
          <w:rtl w:val="true"/>
        </w:rPr>
        <w:t xml:space="preserve">. </w:t>
      </w:r>
      <w:r>
        <w:rPr>
          <w:rtl w:val="true"/>
        </w:rPr>
        <w:t>נוכח קשיי הנאשם ליטול אחריות על מעשיו</w:t>
      </w:r>
      <w:r>
        <w:rPr>
          <w:rtl w:val="true"/>
        </w:rPr>
        <w:t xml:space="preserve">, </w:t>
      </w:r>
      <w:r>
        <w:rPr>
          <w:rtl w:val="true"/>
        </w:rPr>
        <w:t>נמנע שירות המבחן מלבוא בהמלצה טיפולית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לבקשת הנאשם</w:t>
      </w:r>
      <w:r>
        <w:rPr>
          <w:rtl w:val="true"/>
        </w:rPr>
        <w:t xml:space="preserve">, </w:t>
      </w:r>
      <w:r>
        <w:rPr>
          <w:rtl w:val="true"/>
        </w:rPr>
        <w:t>הוא הופנה בשנית לשירות המבחן</w:t>
      </w:r>
      <w:r>
        <w:rPr>
          <w:rtl w:val="true"/>
        </w:rPr>
        <w:t xml:space="preserve">, </w:t>
      </w:r>
      <w:r>
        <w:rPr>
          <w:rtl w:val="true"/>
        </w:rPr>
        <w:t>לשם קביעה אם יש מקום לעריכת תסקיר משלים בעניינו</w:t>
      </w:r>
      <w:r>
        <w:rPr>
          <w:rtl w:val="true"/>
        </w:rPr>
        <w:t xml:space="preserve">. </w:t>
      </w:r>
      <w:r>
        <w:rPr>
          <w:rtl w:val="true"/>
        </w:rPr>
        <w:t xml:space="preserve">בהודעת שירות המבחן מיום </w:t>
      </w:r>
      <w:r>
        <w:rPr/>
        <w:t>20/9/2010</w:t>
      </w:r>
      <w:r>
        <w:rPr>
          <w:rtl w:val="true"/>
        </w:rPr>
        <w:t xml:space="preserve">, </w:t>
      </w:r>
      <w:r>
        <w:rPr>
          <w:rtl w:val="true"/>
        </w:rPr>
        <w:t>שנערכה לאחר בחינה נוספת של המידע המצוי בשירות המבחן</w:t>
      </w:r>
      <w:r>
        <w:rPr>
          <w:rtl w:val="true"/>
        </w:rPr>
        <w:t xml:space="preserve">, </w:t>
      </w:r>
      <w:r>
        <w:rPr>
          <w:rtl w:val="true"/>
        </w:rPr>
        <w:t>ובהסתמך על התרשמותו</w:t>
      </w:r>
      <w:r>
        <w:rPr>
          <w:rtl w:val="true"/>
        </w:rPr>
        <w:t xml:space="preserve">, </w:t>
      </w:r>
      <w:r>
        <w:rPr>
          <w:rtl w:val="true"/>
        </w:rPr>
        <w:t>נקבע כי נוכח קשיי הנאשם ליטול אחריות על הכוונה הפלילית במעשיו</w:t>
      </w:r>
      <w:r>
        <w:rPr>
          <w:rtl w:val="true"/>
        </w:rPr>
        <w:t xml:space="preserve">, </w:t>
      </w:r>
      <w:r>
        <w:rPr>
          <w:rtl w:val="true"/>
        </w:rPr>
        <w:t>להתחבר רגשית לקיום קווים עברייניים באישיותו</w:t>
      </w:r>
      <w:r>
        <w:rPr>
          <w:rtl w:val="true"/>
        </w:rPr>
        <w:t xml:space="preserve">, </w:t>
      </w:r>
      <w:r>
        <w:rPr>
          <w:rtl w:val="true"/>
        </w:rPr>
        <w:t>ונטייתו להשליך את האחריות על שותפיו בעבירה</w:t>
      </w:r>
      <w:r>
        <w:rPr>
          <w:rtl w:val="true"/>
        </w:rPr>
        <w:t xml:space="preserve">, </w:t>
      </w:r>
      <w:r>
        <w:rPr>
          <w:rtl w:val="true"/>
        </w:rPr>
        <w:t>אינם הצדקה לערוך תסקיר משלים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המאשימה לעונש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highlight w:val="green"/>
          <w:u w:val="single"/>
        </w:rPr>
      </w:pPr>
      <w:r>
        <w:rPr>
          <w:b/>
          <w:bCs/>
          <w:highlight w:val="green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העבירות בהן הורשע הנאשם הנן חמורות מאוד</w:t>
      </w:r>
      <w:r>
        <w:rPr>
          <w:rtl w:val="true"/>
        </w:rPr>
        <w:t xml:space="preserve">. </w:t>
      </w:r>
      <w:r>
        <w:rPr>
          <w:rtl w:val="true"/>
        </w:rPr>
        <w:t>הנאשם אמנם לא היה המבצע העיקרי של השוד</w:t>
      </w:r>
      <w:r>
        <w:rPr>
          <w:rtl w:val="true"/>
        </w:rPr>
        <w:t xml:space="preserve">, </w:t>
      </w:r>
      <w:r>
        <w:rPr>
          <w:rtl w:val="true"/>
        </w:rPr>
        <w:t>אולם אחריותו למעשים פחותה אך במעט מאחריות שותפיו</w:t>
      </w:r>
      <w:r>
        <w:rPr>
          <w:rtl w:val="true"/>
        </w:rPr>
        <w:t xml:space="preserve">. </w:t>
      </w:r>
      <w:r>
        <w:rPr>
          <w:rtl w:val="true"/>
        </w:rPr>
        <w:t>הנאשם נטל חלק בהתפרצות למסעדה שבה עבד משך תקופה ארוכה</w:t>
      </w:r>
      <w:r>
        <w:rPr>
          <w:rtl w:val="true"/>
        </w:rPr>
        <w:t xml:space="preserve">, </w:t>
      </w:r>
      <w:r>
        <w:rPr>
          <w:rtl w:val="true"/>
        </w:rPr>
        <w:t>ובגניבת הנשק ממנה</w:t>
      </w:r>
      <w:r>
        <w:rPr>
          <w:rtl w:val="true"/>
        </w:rPr>
        <w:t xml:space="preserve">, </w:t>
      </w:r>
      <w:r>
        <w:rPr>
          <w:rtl w:val="true"/>
        </w:rPr>
        <w:t>שלושה ימים קודם השוד</w:t>
      </w:r>
      <w:r>
        <w:rPr>
          <w:rtl w:val="true"/>
        </w:rPr>
        <w:t xml:space="preserve">. </w:t>
      </w:r>
      <w:r>
        <w:rPr>
          <w:rtl w:val="true"/>
        </w:rPr>
        <w:t>הנאשם שימש נהג הרכב עבור שותפיו בליל השוד</w:t>
      </w:r>
      <w:r>
        <w:rPr>
          <w:rtl w:val="true"/>
        </w:rPr>
        <w:t xml:space="preserve">, </w:t>
      </w:r>
      <w:r>
        <w:rPr>
          <w:rtl w:val="true"/>
        </w:rPr>
        <w:t>והמתין להם מחוץ לתחנת הדלק עד לסיום השוד וליציאתם מהמקום עם השלל בידיהם</w:t>
      </w:r>
      <w:r>
        <w:rPr>
          <w:rtl w:val="true"/>
        </w:rPr>
        <w:t xml:space="preserve">, </w:t>
      </w:r>
      <w:r>
        <w:rPr>
          <w:rtl w:val="true"/>
        </w:rPr>
        <w:t>כשהוא נוהג ללא רישיון וללא ביטוח</w:t>
      </w:r>
      <w:r>
        <w:rPr>
          <w:rtl w:val="true"/>
        </w:rPr>
        <w:t xml:space="preserve">, </w:t>
      </w:r>
      <w:r>
        <w:rPr>
          <w:rtl w:val="true"/>
        </w:rPr>
        <w:t>ואף נמלט מן המקום ברכב עד שאחד משותפיו החליפו בנהיגה</w:t>
      </w:r>
      <w:r>
        <w:rPr>
          <w:rtl w:val="true"/>
        </w:rPr>
        <w:t xml:space="preserve">. </w:t>
      </w:r>
      <w:r>
        <w:rPr>
          <w:rtl w:val="true"/>
        </w:rPr>
        <w:t>ההבדל היחיד בין הנאשם ובין שותפיו הוא כי לא נכנס בפועל אל תוך החנות</w:t>
      </w:r>
      <w:r>
        <w:rPr>
          <w:rtl w:val="true"/>
        </w:rPr>
        <w:t xml:space="preserve">, </w:t>
      </w:r>
      <w:r>
        <w:rPr>
          <w:rtl w:val="true"/>
        </w:rPr>
        <w:t>ולא איים על המתדלק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מעשיו היוו חלק בלעדיו</w:t>
      </w:r>
      <w:r>
        <w:rPr>
          <w:rtl w:val="true"/>
        </w:rPr>
        <w:t>-</w:t>
      </w:r>
      <w:r>
        <w:rPr>
          <w:rtl w:val="true"/>
        </w:rPr>
        <w:t>אין מאירוע השוד</w:t>
      </w:r>
      <w:r>
        <w:rPr>
          <w:rtl w:val="true"/>
        </w:rPr>
        <w:t xml:space="preserve">, </w:t>
      </w:r>
      <w:r>
        <w:rPr>
          <w:rtl w:val="true"/>
        </w:rPr>
        <w:t>והוא היה חיוני ומשמעותי לשותפיו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לטענת המאשימה</w:t>
      </w:r>
      <w:r>
        <w:rPr>
          <w:rtl w:val="true"/>
        </w:rPr>
        <w:t xml:space="preserve">, </w:t>
      </w:r>
      <w:r>
        <w:rPr>
          <w:rtl w:val="true"/>
        </w:rPr>
        <w:t>יש להוסיף לכל אלה את המסוכנות הגלומה בנהיגה ללא רישיון לחייהם של משתמשים תמימים בדרך</w:t>
      </w:r>
      <w:r>
        <w:rPr>
          <w:rtl w:val="true"/>
        </w:rPr>
        <w:t xml:space="preserve">. </w:t>
      </w:r>
      <w:r>
        <w:rPr>
          <w:rtl w:val="true"/>
        </w:rPr>
        <w:t>המדובר בתופעה פסולה ומסוכנת אשר בתי המשפט קבעו לגביה כי יש להטיל בגינה ענישה מחמירה</w:t>
      </w:r>
      <w:r>
        <w:rPr>
          <w:rtl w:val="true"/>
        </w:rPr>
        <w:t xml:space="preserve">, </w:t>
      </w:r>
      <w:r>
        <w:rPr>
          <w:rtl w:val="true"/>
        </w:rPr>
        <w:t>בכדי למגר אותה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יש להוסיף את החומרה הנובעת מעבירת התקיפה בה הורשע הנאשם במסגרת תיק בית המשפט לנוער בצפת</w:t>
      </w:r>
      <w:r>
        <w:rPr>
          <w:rtl w:val="true"/>
        </w:rPr>
        <w:t xml:space="preserve">, </w:t>
      </w:r>
      <w:r>
        <w:rPr>
          <w:rtl w:val="true"/>
        </w:rPr>
        <w:t>אירוע אשר אירע כשנתיים טרם השוד</w:t>
      </w:r>
      <w:r>
        <w:rPr>
          <w:rtl w:val="true"/>
        </w:rPr>
        <w:t xml:space="preserve">, </w:t>
      </w:r>
      <w:r>
        <w:rPr>
          <w:rtl w:val="true"/>
        </w:rPr>
        <w:t>ומעיד על דפוסי התנהגות עברייניים בהם ניחן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עוד לטענת המאשימה</w:t>
      </w:r>
      <w:r>
        <w:rPr>
          <w:rtl w:val="true"/>
        </w:rPr>
        <w:t xml:space="preserve">, </w:t>
      </w:r>
      <w:r>
        <w:rPr>
          <w:rtl w:val="true"/>
        </w:rPr>
        <w:t>על אף גילו הצעיר של הנאשם</w:t>
      </w:r>
      <w:r>
        <w:rPr>
          <w:rtl w:val="true"/>
        </w:rPr>
        <w:t xml:space="preserve">, </w:t>
      </w:r>
      <w:r>
        <w:rPr>
          <w:rtl w:val="true"/>
        </w:rPr>
        <w:t>ושיתוף הפעולה שלו המשטרה</w:t>
      </w:r>
      <w:r>
        <w:rPr>
          <w:rtl w:val="true"/>
        </w:rPr>
        <w:t xml:space="preserve">, </w:t>
      </w:r>
      <w:r>
        <w:rPr>
          <w:rtl w:val="true"/>
        </w:rPr>
        <w:t>מעשיו מעידים כי הוא חסר כל מעצורים ונעדר מורא מן הדין</w:t>
      </w:r>
      <w:r>
        <w:rPr>
          <w:rtl w:val="true"/>
        </w:rPr>
        <w:t xml:space="preserve">, </w:t>
      </w:r>
      <w:r>
        <w:rPr>
          <w:rtl w:val="true"/>
        </w:rPr>
        <w:t>הוא לא ביטא נזקקות טיפולית בפני שירות המבחן</w:t>
      </w:r>
      <w:r>
        <w:rPr>
          <w:rtl w:val="true"/>
        </w:rPr>
        <w:t xml:space="preserve">, </w:t>
      </w:r>
      <w:r>
        <w:rPr>
          <w:rtl w:val="true"/>
        </w:rPr>
        <w:t>ובהעדר כל אופק שיקומי לנאשם</w:t>
      </w:r>
      <w:r>
        <w:rPr>
          <w:rtl w:val="true"/>
        </w:rPr>
        <w:t xml:space="preserve">, </w:t>
      </w:r>
      <w:r>
        <w:rPr>
          <w:rtl w:val="true"/>
        </w:rPr>
        <w:t>יש להטיל עליו ענישה משמעותית</w:t>
      </w:r>
      <w:r>
        <w:rPr>
          <w:rtl w:val="true"/>
        </w:rPr>
        <w:t xml:space="preserve">, </w:t>
      </w:r>
      <w:r>
        <w:rPr>
          <w:rtl w:val="true"/>
        </w:rPr>
        <w:t>בצורת מאסר בפועל ממושך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פסילה משמעותית</w:t>
      </w:r>
      <w:r>
        <w:rPr>
          <w:rtl w:val="true"/>
        </w:rPr>
        <w:t xml:space="preserve">, </w:t>
      </w:r>
      <w:r>
        <w:rPr>
          <w:rtl w:val="true"/>
        </w:rPr>
        <w:t>קנס ופיצויים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הנאשם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>
          <w:b/>
          <w:bCs/>
          <w:highlight w:val="green"/>
          <w:u w:val="single"/>
        </w:rPr>
      </w:pPr>
      <w:r>
        <w:rPr>
          <w:b/>
          <w:bCs/>
          <w:highlight w:val="green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מן הראוי לערוך איזון בעניינו של הנאשם</w:t>
      </w:r>
      <w:r>
        <w:rPr>
          <w:rtl w:val="true"/>
        </w:rPr>
        <w:t xml:space="preserve">, </w:t>
      </w:r>
      <w:r>
        <w:rPr>
          <w:rtl w:val="true"/>
        </w:rPr>
        <w:t>וליתן משקל לכך שבשונה מיתר המעורבים בפרשה הוא הודה בהזדמנות הראשונה</w:t>
      </w:r>
      <w:r>
        <w:rPr>
          <w:rtl w:val="true"/>
        </w:rPr>
        <w:t xml:space="preserve">, </w:t>
      </w:r>
      <w:r>
        <w:rPr>
          <w:rtl w:val="true"/>
        </w:rPr>
        <w:t>שיתף פעולה באופן מלא עם חוקרי המשטרה</w:t>
      </w:r>
      <w:r>
        <w:rPr>
          <w:rtl w:val="true"/>
        </w:rPr>
        <w:t xml:space="preserve">, </w:t>
      </w:r>
      <w:r>
        <w:rPr>
          <w:rtl w:val="true"/>
        </w:rPr>
        <w:t>וקשר את יתר המעורבים בפרשה למעשים</w:t>
      </w:r>
      <w:r>
        <w:rPr>
          <w:rtl w:val="true"/>
        </w:rPr>
        <w:t xml:space="preserve">, </w:t>
      </w:r>
      <w:r>
        <w:rPr>
          <w:rtl w:val="true"/>
        </w:rPr>
        <w:t>באופן שתרם לחסכון בזמן שיפוטי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הביע חרטה וצער כנים בגין מעשיו</w:t>
      </w:r>
      <w:r>
        <w:rPr>
          <w:rtl w:val="true"/>
        </w:rPr>
        <w:t xml:space="preserve">, </w:t>
      </w:r>
      <w:r>
        <w:rPr>
          <w:rtl w:val="true"/>
        </w:rPr>
        <w:t>והבין את חומרתם והשלכותיהם</w:t>
      </w:r>
      <w:r>
        <w:rPr>
          <w:rtl w:val="true"/>
        </w:rPr>
        <w:t xml:space="preserve">. </w:t>
      </w:r>
      <w:r>
        <w:rPr>
          <w:rtl w:val="true"/>
        </w:rPr>
        <w:t>עוד יש להביא בחשבון את חלקו המינורי של הנאשם במעשים</w:t>
      </w:r>
      <w:r>
        <w:rPr>
          <w:rtl w:val="true"/>
        </w:rPr>
        <w:t xml:space="preserve">, </w:t>
      </w:r>
      <w:r>
        <w:rPr>
          <w:rtl w:val="true"/>
        </w:rPr>
        <w:t>ואת העובדה שלא השתתף בשוד בפועל</w:t>
      </w:r>
      <w:r>
        <w:rPr>
          <w:rtl w:val="true"/>
        </w:rPr>
        <w:t xml:space="preserve">, </w:t>
      </w:r>
      <w:r>
        <w:rPr>
          <w:rtl w:val="true"/>
        </w:rPr>
        <w:t>לא הפעיל כל אלימות</w:t>
      </w:r>
      <w:r>
        <w:rPr>
          <w:rtl w:val="true"/>
        </w:rPr>
        <w:t xml:space="preserve">, </w:t>
      </w:r>
      <w:r>
        <w:rPr>
          <w:rtl w:val="true"/>
        </w:rPr>
        <w:t>לא השתמש בנשק ולא איים על המתדלק</w:t>
      </w:r>
      <w:r>
        <w:rPr>
          <w:rtl w:val="true"/>
        </w:rPr>
        <w:t xml:space="preserve">. </w:t>
      </w:r>
      <w:r>
        <w:rPr>
          <w:rtl w:val="true"/>
        </w:rPr>
        <w:t>באשר לתיק שצורף</w:t>
      </w:r>
      <w:r>
        <w:rPr>
          <w:rtl w:val="true"/>
        </w:rPr>
        <w:t xml:space="preserve">, </w:t>
      </w:r>
      <w:r>
        <w:rPr>
          <w:rtl w:val="true"/>
        </w:rPr>
        <w:t>נטען כי מדובר בעבירה קלה יחסית</w:t>
      </w:r>
      <w:r>
        <w:rPr>
          <w:rtl w:val="true"/>
        </w:rPr>
        <w:t xml:space="preserve">, </w:t>
      </w:r>
      <w:r>
        <w:rPr>
          <w:rtl w:val="true"/>
        </w:rPr>
        <w:t>של תקיפה סתם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 כי יש להביא בחשבון את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כפי שהן משתקפות בתסקיר שירות המבחן</w:t>
      </w:r>
      <w:r>
        <w:rPr>
          <w:rtl w:val="true"/>
        </w:rPr>
        <w:t xml:space="preserve">, </w:t>
      </w:r>
      <w:r>
        <w:rPr>
          <w:rtl w:val="true"/>
        </w:rPr>
        <w:t>לרבות מצוקתו המשפחתית והכלכלית</w:t>
      </w:r>
      <w:r>
        <w:rPr>
          <w:rtl w:val="true"/>
        </w:rPr>
        <w:t xml:space="preserve">, </w:t>
      </w:r>
      <w:r>
        <w:rPr>
          <w:rtl w:val="true"/>
        </w:rPr>
        <w:t>והקשיים שהוא חווה במהלך מעצרו</w:t>
      </w:r>
      <w:r>
        <w:rPr>
          <w:rtl w:val="true"/>
        </w:rPr>
        <w:t xml:space="preserve">, </w:t>
      </w:r>
      <w:r>
        <w:rPr>
          <w:rtl w:val="true"/>
        </w:rPr>
        <w:t>וכן את גילו הצעיר והעדר עבר פלילי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שירות המבחן שגה כאשר נמנע מלבוא בהמלצה טיפולית בעניינו של הנאשם</w:t>
      </w:r>
      <w:r>
        <w:rPr>
          <w:rtl w:val="true"/>
        </w:rPr>
        <w:t xml:space="preserve">, </w:t>
      </w:r>
      <w:r>
        <w:rPr>
          <w:rtl w:val="true"/>
        </w:rPr>
        <w:t>שכן הדבר אינו עולה בקנה אחד עם שיתוף הפעולה של הנאשם עם המשטרה</w:t>
      </w:r>
      <w:r>
        <w:rPr>
          <w:rtl w:val="true"/>
        </w:rPr>
        <w:t xml:space="preserve">, </w:t>
      </w:r>
      <w:r>
        <w:rPr>
          <w:rtl w:val="true"/>
        </w:rPr>
        <w:t>חרטתו עוד במהלך חקירתו</w:t>
      </w:r>
      <w:r>
        <w:rPr>
          <w:rtl w:val="true"/>
        </w:rPr>
        <w:t xml:space="preserve">, </w:t>
      </w:r>
      <w:r>
        <w:rPr>
          <w:rtl w:val="true"/>
        </w:rPr>
        <w:t>ונטילת אחריות על מעשיו בפני חוקרי המשטרה ובפני בית המשפט</w:t>
      </w:r>
      <w:r>
        <w:rPr>
          <w:rtl w:val="true"/>
        </w:rPr>
        <w:t xml:space="preserve">. </w:t>
      </w:r>
      <w:r>
        <w:rPr>
          <w:rtl w:val="true"/>
        </w:rPr>
        <w:t>נטען כי ההתרשמות המוטעית של שירות המבחן מן הנאשם נבעה מקשייו להתבטא בשפה העברית בפני קצין המבחן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אין המלצת שירות המבחן מחייבת את בית המשפט והוא רשאי לסטות ממנה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הנאשם הביע חרטה וצער בדבריו בפני בית המשפט</w:t>
      </w:r>
      <w:r>
        <w:rPr>
          <w:rtl w:val="true"/>
        </w:rPr>
        <w:t xml:space="preserve">, </w:t>
      </w:r>
      <w:r>
        <w:rPr>
          <w:rtl w:val="true"/>
        </w:rPr>
        <w:t>טען כי לא ידע מה עשה</w:t>
      </w:r>
      <w:r>
        <w:rPr>
          <w:rtl w:val="true"/>
        </w:rPr>
        <w:t xml:space="preserve">, </w:t>
      </w:r>
      <w:r>
        <w:rPr>
          <w:rtl w:val="true"/>
        </w:rPr>
        <w:t>וכי היום הוא מודע למעשיו</w:t>
      </w:r>
      <w:r>
        <w:rPr>
          <w:rtl w:val="true"/>
        </w:rPr>
        <w:t xml:space="preserve">, </w:t>
      </w:r>
      <w:r>
        <w:rPr>
          <w:rtl w:val="true"/>
        </w:rPr>
        <w:t>וביקש להקל עמו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 הדין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הנאשם שלפניי ביצע עבירות חמורות ביותר</w:t>
      </w:r>
      <w:r>
        <w:rPr>
          <w:rtl w:val="true"/>
        </w:rPr>
        <w:t xml:space="preserve">. </w:t>
      </w:r>
      <w:r>
        <w:rPr>
          <w:rtl w:val="true"/>
        </w:rPr>
        <w:t>הוא סייע לשותפיו לבצע שוד אכזרי וחמור</w:t>
      </w:r>
      <w:r>
        <w:rPr>
          <w:rtl w:val="true"/>
        </w:rPr>
        <w:t xml:space="preserve">, </w:t>
      </w:r>
      <w:r>
        <w:rPr>
          <w:rtl w:val="true"/>
        </w:rPr>
        <w:t>מעשה אשר קדמו לו תכנון והכנה מדוקדקים</w:t>
      </w:r>
      <w:r>
        <w:rPr>
          <w:rtl w:val="true"/>
        </w:rPr>
        <w:t xml:space="preserve">, </w:t>
      </w:r>
      <w:r>
        <w:rPr>
          <w:rtl w:val="true"/>
        </w:rPr>
        <w:t>וביניהם התפרצות למסעדה שבה עבד הנאשם במשך תקופה ארוכה</w:t>
      </w:r>
      <w:r>
        <w:rPr>
          <w:rtl w:val="true"/>
        </w:rPr>
        <w:t xml:space="preserve">, </w:t>
      </w:r>
      <w:r>
        <w:rPr>
          <w:rtl w:val="true"/>
        </w:rPr>
        <w:t>וגניבת נשק מבעליה</w:t>
      </w:r>
      <w:r>
        <w:rPr>
          <w:rtl w:val="true"/>
        </w:rPr>
        <w:t xml:space="preserve">. </w:t>
      </w:r>
      <w:r>
        <w:rPr>
          <w:rtl w:val="true"/>
        </w:rPr>
        <w:t>בליל השוד</w:t>
      </w:r>
      <w:r>
        <w:rPr>
          <w:rtl w:val="true"/>
        </w:rPr>
        <w:t xml:space="preserve">, </w:t>
      </w:r>
      <w:r>
        <w:rPr>
          <w:rtl w:val="true"/>
        </w:rPr>
        <w:t>הסיע הנאשם את שותפיו כשהוא נוהג ללא רישיון נהיגה וללא תעודת ביטוח בתוקף</w:t>
      </w:r>
      <w:r>
        <w:rPr>
          <w:rtl w:val="true"/>
        </w:rPr>
        <w:t xml:space="preserve">, </w:t>
      </w:r>
      <w:r>
        <w:rPr>
          <w:rtl w:val="true"/>
        </w:rPr>
        <w:t>תוך סיכון חיי אדם</w:t>
      </w:r>
      <w:r>
        <w:rPr>
          <w:rtl w:val="true"/>
        </w:rPr>
        <w:t xml:space="preserve">, </w:t>
      </w:r>
      <w:r>
        <w:rPr>
          <w:rtl w:val="true"/>
        </w:rPr>
        <w:t>והמתין להם ברכב שעה שהם מבצעים את השוד בתחנת הדלק לנגד עיניו</w:t>
      </w:r>
      <w:r>
        <w:rPr>
          <w:rtl w:val="true"/>
        </w:rPr>
        <w:t xml:space="preserve">. </w:t>
      </w:r>
      <w:r>
        <w:rPr>
          <w:rtl w:val="true"/>
        </w:rPr>
        <w:t>בתום אירוע השוד</w:t>
      </w:r>
      <w:r>
        <w:rPr>
          <w:rtl w:val="true"/>
        </w:rPr>
        <w:t xml:space="preserve">, </w:t>
      </w:r>
      <w:r>
        <w:rPr>
          <w:rtl w:val="true"/>
        </w:rPr>
        <w:t>מילט הנאשם את שותפיו ברכב</w:t>
      </w:r>
      <w:r>
        <w:rPr>
          <w:rtl w:val="true"/>
        </w:rPr>
        <w:t xml:space="preserve">, </w:t>
      </w:r>
      <w:r>
        <w:rPr>
          <w:rtl w:val="true"/>
        </w:rPr>
        <w:t>עד אשר החליף אותו חברו בנהיגה</w:t>
      </w:r>
      <w:r>
        <w:rPr>
          <w:rtl w:val="true"/>
        </w:rPr>
        <w:t xml:space="preserve">. </w:t>
      </w:r>
      <w:r>
        <w:rPr>
          <w:rtl w:val="true"/>
        </w:rPr>
        <w:t>במהלך המרדף המשטרתי אחרי השודדים</w:t>
      </w:r>
      <w:r>
        <w:rPr>
          <w:rtl w:val="true"/>
        </w:rPr>
        <w:t xml:space="preserve">, </w:t>
      </w:r>
      <w:r>
        <w:rPr>
          <w:rtl w:val="true"/>
        </w:rPr>
        <w:t>ולאחר שנעצר הרכב</w:t>
      </w:r>
      <w:r>
        <w:rPr>
          <w:rtl w:val="true"/>
        </w:rPr>
        <w:t xml:space="preserve">, </w:t>
      </w:r>
      <w:r>
        <w:rPr>
          <w:rtl w:val="true"/>
        </w:rPr>
        <w:t>עזב הנאשם את הרכב ונמלט מן השוטים ברגל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אין להכביר במילים אודות החומרה הטמונה במעשים שביצע הנאשם</w:t>
      </w:r>
      <w:r>
        <w:rPr>
          <w:rtl w:val="true"/>
        </w:rPr>
        <w:t xml:space="preserve">. </w:t>
      </w:r>
      <w:r>
        <w:rPr>
          <w:rtl w:val="true"/>
        </w:rPr>
        <w:t>סיוע לביצוע שוד מזוין אינו דבר של מה בכך</w:t>
      </w:r>
      <w:r>
        <w:rPr>
          <w:rtl w:val="true"/>
        </w:rPr>
        <w:t xml:space="preserve">. </w:t>
      </w:r>
      <w:r>
        <w:rPr>
          <w:rtl w:val="true"/>
        </w:rPr>
        <w:t>לולא הנאשם</w:t>
      </w:r>
      <w:r>
        <w:rPr>
          <w:rtl w:val="true"/>
        </w:rPr>
        <w:t xml:space="preserve">, </w:t>
      </w:r>
      <w:r>
        <w:rPr>
          <w:rtl w:val="true"/>
        </w:rPr>
        <w:t>השותפים היו מתקשים לבצע את העבירה באופן שבוצעה</w:t>
      </w:r>
      <w:r>
        <w:rPr>
          <w:rtl w:val="true"/>
        </w:rPr>
        <w:t xml:space="preserve">. </w:t>
      </w:r>
      <w:r>
        <w:rPr>
          <w:rtl w:val="true"/>
        </w:rPr>
        <w:t>אף אם הנאשם עצמו לא היה זה שביצע את עבירת הרכוש תוך שימוש באלימות ואיומים</w:t>
      </w:r>
      <w:r>
        <w:rPr>
          <w:rtl w:val="true"/>
        </w:rPr>
        <w:t xml:space="preserve">, </w:t>
      </w:r>
      <w:r>
        <w:rPr>
          <w:rtl w:val="true"/>
        </w:rPr>
        <w:t>אין להמעיט בחלקו החיוני במארג השלם של ביצוע העבירה</w:t>
      </w:r>
      <w:r>
        <w:rPr>
          <w:rtl w:val="true"/>
        </w:rPr>
        <w:t xml:space="preserve">. </w:t>
      </w:r>
      <w:r>
        <w:rPr>
          <w:rtl w:val="true"/>
        </w:rPr>
        <w:t>הנאשם נטל חלק פעיל במעשי ההכנה לשוד</w:t>
      </w:r>
      <w:r>
        <w:rPr>
          <w:rtl w:val="true"/>
        </w:rPr>
        <w:t xml:space="preserve">, </w:t>
      </w:r>
      <w:r>
        <w:rPr>
          <w:rtl w:val="true"/>
        </w:rPr>
        <w:t>החל מן הפריצה למסעדה בה עבד</w:t>
      </w:r>
      <w:r>
        <w:rPr>
          <w:rtl w:val="true"/>
        </w:rPr>
        <w:t xml:space="preserve">, </w:t>
      </w:r>
      <w:r>
        <w:rPr>
          <w:rtl w:val="true"/>
        </w:rPr>
        <w:t>גניבת הנשק</w:t>
      </w:r>
      <w:r>
        <w:rPr>
          <w:rtl w:val="true"/>
        </w:rPr>
        <w:t xml:space="preserve">, </w:t>
      </w:r>
      <w:r>
        <w:rPr>
          <w:rtl w:val="true"/>
        </w:rPr>
        <w:t>הסיור המקדים וההתארגנות בחניית המלון</w:t>
      </w:r>
      <w:r>
        <w:rPr>
          <w:rtl w:val="true"/>
        </w:rPr>
        <w:t xml:space="preserve">. </w:t>
      </w:r>
      <w:r>
        <w:rPr>
          <w:rtl w:val="true"/>
        </w:rPr>
        <w:t>הנאשם נהג ברכב כאשר השלושה נמלטו מזירת השוד</w:t>
      </w:r>
      <w:r>
        <w:rPr>
          <w:rtl w:val="true"/>
        </w:rPr>
        <w:t xml:space="preserve">, </w:t>
      </w:r>
      <w:r>
        <w:rPr>
          <w:rtl w:val="true"/>
        </w:rPr>
        <w:t>ונותר ברכב כאשר חברו נוהג בו ונמלט מניידות המשטרה הדולקות אחריהם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בטיעוניו לעונש</w:t>
      </w:r>
      <w:r>
        <w:rPr>
          <w:rtl w:val="true"/>
        </w:rPr>
        <w:t xml:space="preserve">, </w:t>
      </w:r>
      <w:r>
        <w:rPr>
          <w:rtl w:val="true"/>
        </w:rPr>
        <w:t>ניסה ב</w:t>
      </w:r>
      <w:r>
        <w:rPr>
          <w:rtl w:val="true"/>
        </w:rPr>
        <w:t>"</w:t>
      </w:r>
      <w:r>
        <w:rPr>
          <w:rtl w:val="true"/>
        </w:rPr>
        <w:t xml:space="preserve">כ הנאשם לטעון כי הנאשם נקלע </w:t>
      </w:r>
      <w:r>
        <w:rPr>
          <w:rtl w:val="true"/>
        </w:rPr>
        <w:t>"</w:t>
      </w:r>
      <w:r>
        <w:rPr>
          <w:rtl w:val="true"/>
        </w:rPr>
        <w:t>באופן אקראי</w:t>
      </w:r>
      <w:r>
        <w:rPr>
          <w:rtl w:val="true"/>
        </w:rPr>
        <w:t xml:space="preserve">" </w:t>
      </w:r>
      <w:r>
        <w:rPr>
          <w:rtl w:val="true"/>
        </w:rPr>
        <w:t>וללא כל תכנון מוקדם לזירת השוד</w:t>
      </w:r>
      <w:r>
        <w:rPr>
          <w:rtl w:val="true"/>
        </w:rPr>
        <w:t xml:space="preserve">, </w:t>
      </w:r>
      <w:r>
        <w:rPr>
          <w:rtl w:val="true"/>
        </w:rPr>
        <w:t>כאשר נאלץ לנהוג ברכב</w:t>
      </w:r>
      <w:r>
        <w:rPr>
          <w:rtl w:val="true"/>
        </w:rPr>
        <w:t xml:space="preserve">, </w:t>
      </w:r>
      <w:r>
        <w:rPr>
          <w:rtl w:val="true"/>
        </w:rPr>
        <w:t>מבלי שהייתה לו מודעות לתכנון לשדוד את תחנת הדלק</w:t>
      </w:r>
      <w:r>
        <w:rPr>
          <w:rtl w:val="true"/>
        </w:rPr>
        <w:t xml:space="preserve">, </w:t>
      </w:r>
      <w:r>
        <w:rPr>
          <w:rtl w:val="true"/>
        </w:rPr>
        <w:t xml:space="preserve">כך שסייע למעשה מתוך </w:t>
      </w:r>
      <w:r>
        <w:rPr>
          <w:rtl w:val="true"/>
        </w:rPr>
        <w:t>"</w:t>
      </w:r>
      <w:r>
        <w:rPr>
          <w:rtl w:val="true"/>
        </w:rPr>
        <w:t>כורח</w:t>
      </w:r>
      <w:r>
        <w:rPr>
          <w:rtl w:val="true"/>
        </w:rPr>
        <w:t xml:space="preserve">", </w:t>
      </w:r>
      <w:r>
        <w:rPr>
          <w:rtl w:val="true"/>
        </w:rPr>
        <w:t>בשל פחדו משותפיו ואיומיהם עליו</w:t>
      </w:r>
      <w:r>
        <w:rPr>
          <w:rtl w:val="true"/>
        </w:rPr>
        <w:t xml:space="preserve">. </w:t>
        <w:tab/>
        <w:br/>
        <w:br/>
      </w:r>
      <w:r>
        <w:rPr>
          <w:rtl w:val="true"/>
        </w:rPr>
        <w:t>טענות אלה יש לדחות מכל וכל</w:t>
      </w:r>
      <w:r>
        <w:rPr>
          <w:rtl w:val="true"/>
        </w:rPr>
        <w:t xml:space="preserve">. </w:t>
      </w:r>
      <w:r>
        <w:rPr>
          <w:rtl w:val="true"/>
        </w:rPr>
        <w:t>הן אינן עולות בקנה אחד עם הודאת הנאשם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ואף לא עם דבריו בחקירתו במשטרה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יום אחד בלבד לפני אירוע השוד</w:t>
      </w:r>
      <w:r>
        <w:rPr>
          <w:rtl w:val="true"/>
        </w:rPr>
        <w:t xml:space="preserve">, </w:t>
      </w:r>
      <w:r>
        <w:rPr>
          <w:rtl w:val="true"/>
        </w:rPr>
        <w:t>פגש הנאשם בשותפים בכפר</w:t>
      </w:r>
      <w:r>
        <w:rPr>
          <w:rtl w:val="true"/>
        </w:rPr>
        <w:t xml:space="preserve">, </w:t>
      </w:r>
      <w:r>
        <w:rPr>
          <w:rtl w:val="true"/>
        </w:rPr>
        <w:t>נהג ללא רישיון ברכבם</w:t>
      </w:r>
      <w:r>
        <w:rPr>
          <w:rtl w:val="true"/>
        </w:rPr>
        <w:t xml:space="preserve">, </w:t>
      </w:r>
      <w:r>
        <w:rPr>
          <w:rtl w:val="true"/>
        </w:rPr>
        <w:t>ואלה סיפרו לו על תכניתם לבצע את השוד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הנאשם נטל חלק פעיל במעשי ההכנה לשוד</w:t>
      </w:r>
      <w:r>
        <w:rPr>
          <w:rtl w:val="true"/>
        </w:rPr>
        <w:t xml:space="preserve">, </w:t>
      </w:r>
      <w:r>
        <w:rPr>
          <w:rtl w:val="true"/>
        </w:rPr>
        <w:t>ובהם גניבת הנשק מן המסעדה שבה הוא עצמו עבד</w:t>
      </w:r>
      <w:r>
        <w:rPr>
          <w:rtl w:val="true"/>
        </w:rPr>
        <w:t xml:space="preserve">, </w:t>
      </w:r>
      <w:r>
        <w:rPr>
          <w:rtl w:val="true"/>
        </w:rPr>
        <w:t>ובהתארגנות בחניית המלון בליל השוד</w:t>
      </w:r>
      <w:r>
        <w:rPr>
          <w:rtl w:val="true"/>
        </w:rPr>
        <w:t xml:space="preserve">. </w:t>
        <w:tab/>
        <w:br/>
        <w:br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הנאשם מסר לחוקרי המשטרה </w:t>
      </w:r>
      <w:r>
        <w:rPr>
          <w:rtl w:val="true"/>
        </w:rPr>
        <w:t>(</w:t>
      </w:r>
      <w:r>
        <w:rPr>
          <w:rtl w:val="true"/>
        </w:rPr>
        <w:t>תמלילי החקירה הוגשו בהסכמה כראייה לעונש</w:t>
      </w:r>
      <w:r>
        <w:rPr>
          <w:rtl w:val="true"/>
        </w:rPr>
        <w:t xml:space="preserve">) </w:t>
      </w:r>
      <w:r>
        <w:rPr>
          <w:rtl w:val="true"/>
        </w:rPr>
        <w:t>כי הסכים לנהוג ברכב</w:t>
      </w:r>
      <w:r>
        <w:rPr>
          <w:rtl w:val="true"/>
        </w:rPr>
        <w:t xml:space="preserve">, </w:t>
      </w:r>
      <w:r>
        <w:rPr>
          <w:rtl w:val="true"/>
        </w:rPr>
        <w:t>כי השותפים מסרו לו כי הם עומדים לשדוד את תחנת הדלק</w:t>
      </w:r>
      <w:r>
        <w:rPr>
          <w:rtl w:val="true"/>
        </w:rPr>
        <w:t xml:space="preserve">, </w:t>
      </w:r>
      <w:r>
        <w:rPr>
          <w:rtl w:val="true"/>
        </w:rPr>
        <w:t>והנאשם כלל לא הזכיר כי עשה זאת מתוך פחד מהשותפים</w:t>
      </w:r>
      <w:r>
        <w:rPr>
          <w:rtl w:val="true"/>
        </w:rPr>
        <w:t xml:space="preserve">, </w:t>
      </w:r>
      <w:r>
        <w:rPr>
          <w:rtl w:val="true"/>
        </w:rPr>
        <w:t>או עקב איומים שהופנו אליו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הנאשם אף ציין כי בינו ובין מוחמד יש קשר חברי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עוד אציין כי טענות הנאשם ביחס להמלצות תסקיר שירות המבחן אף הן אינן מקובלות עליי</w:t>
      </w:r>
      <w:r>
        <w:rPr>
          <w:rtl w:val="true"/>
        </w:rPr>
        <w:t xml:space="preserve">. </w:t>
      </w:r>
      <w:r>
        <w:rPr>
          <w:rtl w:val="true"/>
        </w:rPr>
        <w:t>באשר לטענה לפיה דבריו בפני קצין המבחן לא הובנו בשל קשיי שפה</w:t>
      </w:r>
      <w:r>
        <w:rPr>
          <w:rtl w:val="true"/>
        </w:rPr>
        <w:t xml:space="preserve">, </w:t>
      </w:r>
      <w:r>
        <w:rPr>
          <w:rtl w:val="true"/>
        </w:rPr>
        <w:t>היא נסתרת מתוך תמלילי החקירה במשטרה</w:t>
      </w:r>
      <w:r>
        <w:rPr>
          <w:rtl w:val="true"/>
        </w:rPr>
        <w:t xml:space="preserve">, </w:t>
      </w:r>
      <w:r>
        <w:rPr>
          <w:rtl w:val="true"/>
        </w:rPr>
        <w:t>שם מסר הנאשם מספר פעמים כי אין לו כל בעיה להיחקר בשפה העברית</w:t>
      </w:r>
      <w:r>
        <w:rPr>
          <w:rtl w:val="true"/>
        </w:rPr>
        <w:t xml:space="preserve">, </w:t>
      </w:r>
      <w:r>
        <w:rPr>
          <w:rtl w:val="true"/>
        </w:rPr>
        <w:t>והנאשם לא העלה כל טענה באשר להבנת דברי החוקרים</w:t>
      </w:r>
      <w:r>
        <w:rPr>
          <w:rtl w:val="true"/>
        </w:rPr>
        <w:t xml:space="preserve">, </w:t>
      </w:r>
      <w:r>
        <w:rPr>
          <w:rtl w:val="true"/>
        </w:rPr>
        <w:t>והבנתם הם את דבריו שלו</w:t>
      </w:r>
      <w:r>
        <w:rPr>
          <w:rtl w:val="true"/>
        </w:rPr>
        <w:t xml:space="preserve">. </w:t>
      </w:r>
      <w:r>
        <w:rPr>
          <w:rtl w:val="true"/>
        </w:rPr>
        <w:t>באשר לטענת הנאשם לפיה שיקול דעת קצין המבחן הופעל שלא כהלכה</w:t>
      </w:r>
      <w:r>
        <w:rPr>
          <w:rtl w:val="true"/>
        </w:rPr>
        <w:t xml:space="preserve">, </w:t>
      </w:r>
      <w:r>
        <w:rPr>
          <w:rtl w:val="true"/>
        </w:rPr>
        <w:t>לאור החרטה והצער שהובעו על ידי הנאשם</w:t>
      </w:r>
      <w:r>
        <w:rPr>
          <w:rtl w:val="true"/>
        </w:rPr>
        <w:t xml:space="preserve">, </w:t>
      </w:r>
      <w:r>
        <w:rPr>
          <w:rtl w:val="true"/>
        </w:rPr>
        <w:t>גם זאת אין בידי לקבל</w:t>
      </w:r>
      <w:r>
        <w:rPr>
          <w:rtl w:val="true"/>
        </w:rPr>
        <w:t xml:space="preserve">. </w:t>
      </w:r>
      <w:r>
        <w:rPr>
          <w:rtl w:val="true"/>
        </w:rPr>
        <w:t>החרטה והצער שהביע הנאשם אכן קיבלו ביטוי בתסקיר</w:t>
      </w:r>
      <w:r>
        <w:rPr>
          <w:rtl w:val="true"/>
        </w:rPr>
        <w:t xml:space="preserve">, </w:t>
      </w:r>
      <w:r>
        <w:rPr>
          <w:rtl w:val="true"/>
        </w:rPr>
        <w:t>אולם נקבע לגביו כי הוא אינו מביע חיבור רגשי לקווים העבריינים שבאישיותו</w:t>
      </w:r>
      <w:r>
        <w:rPr>
          <w:rtl w:val="true"/>
        </w:rPr>
        <w:t xml:space="preserve">, </w:t>
      </w:r>
      <w:r>
        <w:rPr>
          <w:rtl w:val="true"/>
        </w:rPr>
        <w:t>כי הוא לא נוטל אחריות על הכוונה הפלילית שבמעשיו</w:t>
      </w:r>
      <w:r>
        <w:rPr>
          <w:rtl w:val="true"/>
        </w:rPr>
        <w:t xml:space="preserve">, </w:t>
      </w:r>
      <w:r>
        <w:rPr>
          <w:rtl w:val="true"/>
        </w:rPr>
        <w:t>ונטייתו הנה להשליך את האחריות למעשים על שותפיו לעבירות</w:t>
      </w:r>
      <w:r>
        <w:rPr>
          <w:rtl w:val="true"/>
        </w:rPr>
        <w:t xml:space="preserve">. </w:t>
      </w:r>
      <w:r>
        <w:rPr>
          <w:rtl w:val="true"/>
        </w:rPr>
        <w:t>עוד צוין כי הנאשם לא ביטא נזקקות טיפולית</w:t>
      </w:r>
      <w:r>
        <w:rPr>
          <w:rtl w:val="true"/>
        </w:rPr>
        <w:t xml:space="preserve">. </w:t>
      </w:r>
      <w:r>
        <w:rPr>
          <w:rtl w:val="true"/>
        </w:rPr>
        <w:t>כל אלה הובילו לכך ששירות המבחן נמנע מליתן המלצה טיפולית</w:t>
      </w:r>
      <w:r>
        <w:rPr>
          <w:rtl w:val="true"/>
        </w:rPr>
        <w:t xml:space="preserve">. </w:t>
      </w:r>
      <w:r>
        <w:rPr>
          <w:rtl w:val="true"/>
        </w:rPr>
        <w:t>יתר השיקולים אשר לדעת הנאשם היו צריכים להיות מובאים בחשבון בעניינו של הנאשם</w:t>
      </w:r>
      <w:r>
        <w:rPr>
          <w:rtl w:val="true"/>
        </w:rPr>
        <w:t xml:space="preserve">, </w:t>
      </w:r>
      <w:r>
        <w:rPr>
          <w:rtl w:val="true"/>
        </w:rPr>
        <w:t>על ידי שירות המבחן</w:t>
      </w:r>
      <w:r>
        <w:rPr>
          <w:rtl w:val="true"/>
        </w:rPr>
        <w:t xml:space="preserve">, </w:t>
      </w:r>
      <w:r>
        <w:rPr>
          <w:rtl w:val="true"/>
        </w:rPr>
        <w:t>מובאים ממילא על ידי בית המשפט בחשבון</w:t>
      </w:r>
      <w:r>
        <w:rPr>
          <w:rtl w:val="true"/>
        </w:rPr>
        <w:t xml:space="preserve">, </w:t>
      </w:r>
      <w:r>
        <w:rPr>
          <w:rtl w:val="true"/>
        </w:rPr>
        <w:t>במהלך עריכת האיזון הנדרש בעת גזירת 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עוד יש לציין</w:t>
      </w:r>
      <w:r>
        <w:rPr>
          <w:rtl w:val="true"/>
        </w:rPr>
        <w:t xml:space="preserve">, </w:t>
      </w:r>
      <w:r>
        <w:rPr>
          <w:rtl w:val="true"/>
        </w:rPr>
        <w:t>כי נוסף על עבירות ההתפרצות</w:t>
      </w:r>
      <w:r>
        <w:rPr>
          <w:rtl w:val="true"/>
        </w:rPr>
        <w:t xml:space="preserve">, </w:t>
      </w:r>
      <w:r>
        <w:rPr>
          <w:rtl w:val="true"/>
        </w:rPr>
        <w:t>החזקת הנשק</w:t>
      </w:r>
      <w:r>
        <w:rPr>
          <w:rtl w:val="true"/>
        </w:rPr>
        <w:t xml:space="preserve">, </w:t>
      </w:r>
      <w:r>
        <w:rPr>
          <w:rtl w:val="true"/>
        </w:rPr>
        <w:t>והסיוע לשוד</w:t>
      </w:r>
      <w:r>
        <w:rPr>
          <w:rtl w:val="true"/>
        </w:rPr>
        <w:t xml:space="preserve">, </w:t>
      </w:r>
      <w:r>
        <w:rPr>
          <w:rtl w:val="true"/>
        </w:rPr>
        <w:t>הורשע הנאשם שלפניי גם בביצוע עבירה של תקיפה</w:t>
      </w:r>
      <w:r>
        <w:rPr>
          <w:rtl w:val="true"/>
        </w:rPr>
        <w:t xml:space="preserve">, </w:t>
      </w:r>
      <w:r>
        <w:rPr>
          <w:rtl w:val="true"/>
        </w:rPr>
        <w:t>כאשר תקף באלימות את המתלוננת</w:t>
      </w:r>
      <w:r>
        <w:rPr>
          <w:rtl w:val="true"/>
        </w:rPr>
        <w:t xml:space="preserve">, </w:t>
      </w:r>
      <w:r>
        <w:rPr>
          <w:rtl w:val="true"/>
        </w:rPr>
        <w:t>אישה תושבת כפרו</w:t>
      </w:r>
      <w:r>
        <w:rPr>
          <w:rtl w:val="true"/>
        </w:rPr>
        <w:t xml:space="preserve">, </w:t>
      </w:r>
      <w:r>
        <w:rPr>
          <w:rtl w:val="true"/>
        </w:rPr>
        <w:t>במו ידיו החשופות</w:t>
      </w:r>
      <w:r>
        <w:rPr>
          <w:rtl w:val="true"/>
        </w:rPr>
        <w:t xml:space="preserve">, </w:t>
      </w:r>
      <w:r>
        <w:rPr>
          <w:rtl w:val="true"/>
        </w:rPr>
        <w:t>בחצר ביתה</w:t>
      </w:r>
      <w:r>
        <w:rPr>
          <w:rtl w:val="true"/>
        </w:rPr>
        <w:t xml:space="preserve">. </w:t>
      </w:r>
      <w:r>
        <w:rPr>
          <w:rtl w:val="true"/>
        </w:rPr>
        <w:t>בטיעוני הנאשם העלה הוא כי מדובר בעבירה קלת ערך</w:t>
      </w:r>
      <w:r>
        <w:rPr>
          <w:rtl w:val="true"/>
        </w:rPr>
        <w:t xml:space="preserve">, </w:t>
      </w:r>
      <w:r>
        <w:rPr>
          <w:rtl w:val="true"/>
        </w:rPr>
        <w:t>אך אני סבור כי אין למעט בה ולהתעלם מחומרתה</w:t>
      </w:r>
      <w:r>
        <w:rPr>
          <w:rtl w:val="true"/>
        </w:rPr>
        <w:t xml:space="preserve">. </w:t>
      </w:r>
      <w:r>
        <w:rPr>
          <w:rtl w:val="true"/>
        </w:rPr>
        <w:t>התנהגות ברוטאלית כזו כלפי אישה תמימה ראויה לענישה מחמירה</w:t>
      </w:r>
      <w:r>
        <w:rPr>
          <w:rtl w:val="true"/>
        </w:rPr>
        <w:t xml:space="preserve">, </w:t>
      </w:r>
      <w:r>
        <w:rPr>
          <w:rtl w:val="true"/>
        </w:rPr>
        <w:t>למען לא יעלה הנאשם בדעתו לשוב ולנהוג בצורה כזו בעתיד</w:t>
      </w:r>
      <w:r>
        <w:rPr>
          <w:rtl w:val="true"/>
        </w:rPr>
        <w:t xml:space="preserve">, </w:t>
      </w:r>
      <w:r>
        <w:rPr>
          <w:rtl w:val="true"/>
        </w:rPr>
        <w:t>ולמען התרעת הרבים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/>
      </w:pPr>
      <w:r>
        <w:rPr>
          <w:rtl w:val="true"/>
        </w:rPr>
        <w:t>כשיקולים לקולא</w:t>
      </w:r>
      <w:r>
        <w:rPr>
          <w:rtl w:val="true"/>
        </w:rPr>
        <w:t xml:space="preserve">, </w:t>
      </w:r>
      <w:r>
        <w:rPr>
          <w:rtl w:val="true"/>
        </w:rPr>
        <w:t>יש להביא בחשבון את הודאתו של הנאשם בפני חוקרי המשטרה</w:t>
      </w:r>
      <w:r>
        <w:rPr>
          <w:rtl w:val="true"/>
        </w:rPr>
        <w:t xml:space="preserve">, </w:t>
      </w:r>
      <w:r>
        <w:rPr>
          <w:rtl w:val="true"/>
        </w:rPr>
        <w:t>ובפני בית המשפט</w:t>
      </w:r>
      <w:r>
        <w:rPr>
          <w:rtl w:val="true"/>
        </w:rPr>
        <w:t xml:space="preserve">, </w:t>
      </w:r>
      <w:r>
        <w:rPr>
          <w:rtl w:val="true"/>
        </w:rPr>
        <w:t>באופן שתרם לחיסכון במשאבים ובזמן שיפוטי יקר</w:t>
      </w:r>
      <w:r>
        <w:rPr>
          <w:rtl w:val="true"/>
        </w:rPr>
        <w:t xml:space="preserve">, </w:t>
      </w:r>
      <w:r>
        <w:rPr>
          <w:rtl w:val="true"/>
        </w:rPr>
        <w:t>את גילו הצעיר</w:t>
      </w:r>
      <w:r>
        <w:rPr>
          <w:rtl w:val="true"/>
        </w:rPr>
        <w:t xml:space="preserve">, </w:t>
      </w:r>
      <w:r>
        <w:rPr>
          <w:rtl w:val="true"/>
        </w:rPr>
        <w:t>העדר עבר פלילי</w:t>
      </w:r>
      <w:r>
        <w:rPr>
          <w:rtl w:val="true"/>
        </w:rPr>
        <w:t xml:space="preserve">, </w:t>
      </w:r>
      <w:r>
        <w:rPr>
          <w:rtl w:val="true"/>
        </w:rPr>
        <w:t>ואת מצב משפחתו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ששמעתי את טיעוני 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ושקלתי את כלל השיקולים הצריכים לעניין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לחומרה ולקולה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גוזר את דינו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ומטיל עליו את העונשים 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מתוכם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 תקופת 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היתרה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הוא שהנאשם לא יעבור ויורשע בפרק זמן זה על כל אחת מן העבירות בהן הורשע  בתיק זה ובתיק שצורף לו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start="206" w:end="0"/>
        <w:jc w:val="both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או עשרה ימי מאסר תמורתו וזאת בנוסף לכל עונש מאסר אחר שהינו מרצה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פיצוי למתלוננת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פ נוער נצרת </w:t>
      </w:r>
      <w:r>
        <w:rPr>
          <w:b/>
          <w:bCs/>
        </w:rPr>
        <w:t>173-03-09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פטמה הייב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בסך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₪.  </w:t>
      </w:r>
      <w:r>
        <w:rPr>
          <w:b/>
          <w:b/>
          <w:bCs/>
          <w:rtl w:val="true"/>
        </w:rPr>
        <w:t xml:space="preserve">הסכום יופקד בקופת בית המשפט בתוך </w:t>
      </w:r>
      <w:r>
        <w:rPr>
          <w:b/>
          <w:bCs/>
        </w:rPr>
        <w:t>90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;</w:t>
      </w:r>
      <w:r>
        <w:rPr>
          <w:b/>
          <w:bCs/>
          <w:rtl w:val="true"/>
        </w:rPr>
        <w:br/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746" w:leader="none"/>
        </w:tabs>
        <w:spacing w:lineRule="auto" w:line="360"/>
        <w:ind w:hanging="586" w:start="792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פוסל את הנאשם מלהחזיק או לקבל רשיון נהיגה לתקופה של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 בפועל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54678313-41/10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/Users/liorb/Downloads/study2025-p2/ME-10-41-840.doc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רביע הייב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b w:val="false"/>
        <w:bCs w:val="false"/>
      </w:rPr>
    </w:lvl>
    <w:lvl w:ilvl="1">
      <w:start w:val="1"/>
      <w:numFmt w:val="decimal"/>
      <w:lvlText w:val="%1.%2."/>
      <w:lvlJc w:val="start"/>
      <w:pPr>
        <w:tabs>
          <w:tab w:val="num" w:pos="792"/>
        </w:tabs>
        <w:ind w:start="792" w:hanging="432"/>
      </w:pPr>
      <w:rPr>
        <w:b w:val="false"/>
        <w:bCs w:val="false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1224"/>
        </w:tabs>
        <w:ind w:start="1224" w:hanging="504"/>
      </w:pPr>
    </w:lvl>
    <w:lvl w:ilvl="3">
      <w:start w:val="1"/>
      <w:numFmt w:val="decimal"/>
      <w:lvlText w:val="%1.%2.%3.%4."/>
      <w:lvlJc w:val="start"/>
      <w:pPr>
        <w:tabs>
          <w:tab w:val="num" w:pos="1728"/>
        </w:tabs>
        <w:ind w:start="1728" w:hanging="648"/>
      </w:pPr>
    </w:lvl>
    <w:lvl w:ilvl="4">
      <w:start w:val="1"/>
      <w:numFmt w:val="decimal"/>
      <w:lvlText w:val="%1.%2.%3.%4.%5."/>
      <w:lvlJc w:val="start"/>
      <w:pPr>
        <w:tabs>
          <w:tab w:val="num" w:pos="2520"/>
        </w:tabs>
        <w:ind w:start="2232" w:hanging="792"/>
      </w:pPr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</w:lvl>
    <w:lvl w:ilvl="8">
      <w:start w:val="1"/>
      <w:numFmt w:val="decimal"/>
      <w:lvlText w:val="%1.%2.%3.%4.%5.%6.%7.%8.%9."/>
      <w:lvlJc w:val="start"/>
      <w:pPr>
        <w:tabs>
          <w:tab w:val="num" w:pos="4320"/>
        </w:tabs>
        <w:ind w:start="4320" w:hanging="144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1z1">
    <w:name w:val="WW8Num1z1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745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74501" TargetMode="External"/><Relationship Id="rId8" Type="http://schemas.openxmlformats.org/officeDocument/2006/relationships/hyperlink" Target="http://www.nevo.co.il/case/4365339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2016-02-08T15:00:00Z</dcterms:created>
  <dc:creator> </dc:creator>
  <dc:description/>
  <cp:keywords/>
  <dc:language>en-IL</dc:language>
  <cp:lastModifiedBy>hofit</cp:lastModifiedBy>
  <dcterms:modified xsi:type="dcterms:W3CDTF">2016-02-08T15:00:00Z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רביע הייב </vt:lpwstr>
  </property>
  <property fmtid="{D5CDD505-2E9C-101B-9397-08002B2CF9AE}" pid="4" name="CASESLISTTMP1">
    <vt:lpwstr>4365339</vt:lpwstr>
  </property>
  <property fmtid="{D5CDD505-2E9C-101B-9397-08002B2CF9AE}" pid="5" name="CITY">
    <vt:lpwstr>נצ'</vt:lpwstr>
  </property>
  <property fmtid="{D5CDD505-2E9C-101B-9397-08002B2CF9AE}" pid="6" name="DATE">
    <vt:lpwstr>20101130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תאופיק כתילי</vt:lpwstr>
  </property>
  <property fmtid="{D5CDD505-2E9C-101B-9397-08002B2CF9AE}" pid="10" name="LAWLISTTMP1">
    <vt:lpwstr>70301</vt:lpwstr>
  </property>
  <property fmtid="{D5CDD505-2E9C-101B-9397-08002B2CF9AE}" pid="11" name="LAWLISTTMP2">
    <vt:lpwstr>5227</vt:lpwstr>
  </property>
  <property fmtid="{D5CDD505-2E9C-101B-9397-08002B2CF9AE}" pid="12" name="LAWLISTTMP3">
    <vt:lpwstr>74501</vt:lpwstr>
  </property>
  <property fmtid="{D5CDD505-2E9C-101B-9397-08002B2CF9AE}" pid="13" name="LAWYER">
    <vt:lpwstr>אמיר עראף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41</vt:lpwstr>
  </property>
  <property fmtid="{D5CDD505-2E9C-101B-9397-08002B2CF9AE}" pid="27" name="NEWPARTB">
    <vt:lpwstr/>
  </property>
  <property fmtid="{D5CDD505-2E9C-101B-9397-08002B2CF9AE}" pid="28" name="NEWPARTC">
    <vt:lpwstr>10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>41</vt:lpwstr>
  </property>
  <property fmtid="{D5CDD505-2E9C-101B-9397-08002B2CF9AE}" pid="35" name="PROCYEAR">
    <vt:lpwstr>10</vt:lpwstr>
  </property>
  <property fmtid="{D5CDD505-2E9C-101B-9397-08002B2CF9AE}" pid="36" name="PSAKDIN">
    <vt:lpwstr>גזר-דין</vt:lpwstr>
  </property>
  <property fmtid="{D5CDD505-2E9C-101B-9397-08002B2CF9AE}" pid="37" name="RemarkFileName">
    <vt:lpwstr>mechozi me 10 41 840 htm</vt:lpwstr>
  </property>
  <property fmtid="{D5CDD505-2E9C-101B-9397-08002B2CF9AE}" pid="38" name="TYPE">
    <vt:lpwstr>2</vt:lpwstr>
  </property>
  <property fmtid="{D5CDD505-2E9C-101B-9397-08002B2CF9AE}" pid="39" name="TYPE_ABS_DATE">
    <vt:lpwstr>390020101130</vt:lpwstr>
  </property>
  <property fmtid="{D5CDD505-2E9C-101B-9397-08002B2CF9AE}" pid="40" name="TYPE_N_DATE">
    <vt:lpwstr>39020101130</vt:lpwstr>
  </property>
  <property fmtid="{D5CDD505-2E9C-101B-9397-08002B2CF9AE}" pid="41" name="VOLUME">
    <vt:lpwstr/>
  </property>
  <property fmtid="{D5CDD505-2E9C-101B-9397-08002B2CF9AE}" pid="42" name="WORDNUMPAGES">
    <vt:lpwstr>8</vt:lpwstr>
  </property>
</Properties>
</file>