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41029-09-11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דוכאן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41044-09-11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יוסף בן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חמו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עאטף דוכאן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203048418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קבלאוי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בעצמו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הובא באמצעות הליווי וכן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סרי חורי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 הורשע על פי הודאתו בכתב אישום מתוקן 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עובדות כתב האישום המתוקן בהן הודה והורשע</w:t>
      </w:r>
      <w:r>
        <w:rPr>
          <w:rtl w:val="true"/>
        </w:rPr>
        <w:t xml:space="preserve">, </w:t>
      </w:r>
      <w:r>
        <w:rPr>
          <w:rtl w:val="true"/>
        </w:rPr>
        <w:t xml:space="preserve">החזיק הנאשם בביתו שלא כדין אקדח ושתי מחסניות טעונות בכדורי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 xml:space="preserve">שלוש קופסאות ובתוכן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קופסא נוספת ובתוכה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כדורי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שקית ובתוכה תפזורת כדורי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התחמושת</w:t>
      </w:r>
      <w:r>
        <w:rPr>
          <w:rtl w:val="true"/>
        </w:rPr>
        <w:t xml:space="preserve">"].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הסתיר את האקדח ואת התחמושת בתוך תיק אותו הטמין במכונת כביסה הנמצאת במחסן על גג ביתו</w:t>
      </w:r>
      <w:r>
        <w:rPr>
          <w:rtl w:val="true"/>
        </w:rPr>
        <w:t xml:space="preserve">. </w:t>
      </w:r>
      <w:r>
        <w:rPr>
          <w:rtl w:val="true"/>
        </w:rPr>
        <w:t>האקדח והתחמושת היו בהחזקתו של הנאשם במשך שלושה שבועות</w:t>
      </w:r>
      <w:r>
        <w:rPr>
          <w:rtl w:val="true"/>
        </w:rPr>
        <w:t xml:space="preserve">, </w:t>
      </w:r>
      <w:r>
        <w:rPr>
          <w:rtl w:val="true"/>
        </w:rPr>
        <w:t>מוסתרים עד ליום מעצרו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15/9/11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 המאשימה</w:t>
      </w:r>
      <w:r>
        <w:rPr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המאשימה מסכימה כי גילו הצעיר של הנאשם </w:t>
      </w:r>
      <w:r>
        <w:rPr>
          <w:rtl w:val="true"/>
        </w:rPr>
        <w:t>[</w:t>
      </w:r>
      <w:r>
        <w:rPr>
          <w:rtl w:val="true"/>
        </w:rPr>
        <w:t xml:space="preserve">יליד </w:t>
      </w:r>
      <w:r>
        <w:rPr/>
        <w:t>1991</w:t>
      </w:r>
      <w:r>
        <w:rPr>
          <w:rtl w:val="true"/>
        </w:rPr>
        <w:t xml:space="preserve">], </w:t>
      </w:r>
      <w:r>
        <w:rPr>
          <w:rtl w:val="true"/>
        </w:rPr>
        <w:t>העדר עבר פלילי וכן העובדה שהנאשם הודה ובכך חסך זמן שיפוטי יקר</w:t>
      </w:r>
      <w:r>
        <w:rPr>
          <w:rtl w:val="true"/>
        </w:rPr>
        <w:t xml:space="preserve">, </w:t>
      </w:r>
      <w:r>
        <w:rPr>
          <w:rtl w:val="true"/>
        </w:rPr>
        <w:t>כל אלה נסיבות שיש לזוקפן לזכות הנאשם</w:t>
      </w:r>
      <w:r>
        <w:rPr>
          <w:rtl w:val="true"/>
        </w:rPr>
        <w:t xml:space="preserve">, </w:t>
      </w:r>
      <w:r>
        <w:rPr>
          <w:rtl w:val="true"/>
        </w:rPr>
        <w:t>אך מאידך גיסא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יש לזקוף את העובדה שמדובר בעבירות חמורות מאוד</w:t>
      </w:r>
      <w:r>
        <w:rPr>
          <w:rtl w:val="true"/>
        </w:rPr>
        <w:t xml:space="preserve">. </w:t>
      </w:r>
      <w:r>
        <w:rPr>
          <w:rtl w:val="true"/>
        </w:rPr>
        <w:t>בתי המשפט עמדו על חומרת עבירות הנשק</w:t>
      </w:r>
      <w:r>
        <w:rPr>
          <w:rtl w:val="true"/>
        </w:rPr>
        <w:t xml:space="preserve">. </w:t>
      </w:r>
      <w:r>
        <w:rPr>
          <w:rtl w:val="true"/>
        </w:rPr>
        <w:t>עבירת החזקת נשק חם שלא כדין הפכה למכת מדינה המסכנת את בטחון הציבור ומחייבת נקיטת יד קשה כדי למגר תופעה חמורה זו</w:t>
      </w:r>
      <w:r>
        <w:rPr>
          <w:rtl w:val="true"/>
        </w:rPr>
        <w:t xml:space="preserve">, </w:t>
      </w:r>
      <w:r>
        <w:rPr>
          <w:rtl w:val="true"/>
        </w:rPr>
        <w:t>המהווה שלב מקדים לפני שימוש בנשק לביצוע פעולות עברייניות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בתסקיר שירות המבחן אין המלצה טיפולית</w:t>
      </w:r>
      <w:r>
        <w:rPr>
          <w:rtl w:val="true"/>
        </w:rPr>
        <w:t xml:space="preserve">, </w:t>
      </w:r>
      <w:r>
        <w:rPr>
          <w:rtl w:val="true"/>
        </w:rPr>
        <w:t>לאחר שהנאשם שלל נזקקות</w:t>
      </w:r>
      <w:r>
        <w:rPr>
          <w:rtl w:val="true"/>
        </w:rPr>
        <w:t xml:space="preserve">. </w:t>
      </w:r>
      <w:r>
        <w:rPr>
          <w:rtl w:val="true"/>
        </w:rPr>
        <w:t>גם שירות המבחן מעריך שיש מקום להשתת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מבקשת ב</w:t>
      </w:r>
      <w:r>
        <w:rPr>
          <w:rtl w:val="true"/>
        </w:rPr>
        <w:t>"</w:t>
      </w:r>
      <w:r>
        <w:rPr>
          <w:rtl w:val="true"/>
        </w:rPr>
        <w:t>כ המאשימה להשית על הנאשם עונש מאסר בפועל ממשי וממושך שירתיע ויהלום את חומרת העבירה וכן מאסר על תנאי מרתיע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 הסניגור</w:t>
      </w:r>
      <w:r>
        <w:rPr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מציין כי למרות ש</w:t>
      </w:r>
      <w:r>
        <w:rPr>
          <w:rtl w:val="true"/>
        </w:rPr>
        <w:t>"</w:t>
      </w:r>
      <w:r>
        <w:rPr>
          <w:rtl w:val="true"/>
        </w:rPr>
        <w:t>בתסקיר המעצר</w:t>
      </w:r>
      <w:r>
        <w:rPr>
          <w:rtl w:val="true"/>
        </w:rPr>
        <w:t xml:space="preserve">" </w:t>
      </w:r>
      <w:r>
        <w:rPr>
          <w:rtl w:val="true"/>
        </w:rPr>
        <w:t>שהוגש בעניינו של הנאשם הומלץ על שחרורו</w:t>
      </w:r>
      <w:r>
        <w:rPr>
          <w:rtl w:val="true"/>
        </w:rPr>
        <w:t xml:space="preserve">, </w:t>
      </w:r>
      <w:r>
        <w:rPr>
          <w:rtl w:val="true"/>
        </w:rPr>
        <w:t>הגיע הנאשם להסדר טיעון במסגרתו הסכים להארכת מעצרו עד לתום ההליכים בעניינו</w:t>
      </w:r>
      <w:r>
        <w:rPr>
          <w:rtl w:val="true"/>
        </w:rPr>
        <w:t xml:space="preserve">. </w:t>
      </w:r>
      <w:r>
        <w:rPr>
          <w:rtl w:val="true"/>
        </w:rPr>
        <w:t>הנאשם הודה בעובדות כתב האישום המתוקן כבר במהלך חקירתו במשטרה</w:t>
      </w:r>
      <w:r>
        <w:rPr>
          <w:rtl w:val="true"/>
        </w:rPr>
        <w:t xml:space="preserve">. </w:t>
      </w:r>
      <w:r>
        <w:rPr>
          <w:rtl w:val="true"/>
        </w:rPr>
        <w:t>אין מדובר בעבריין מתוחכם</w:t>
      </w:r>
      <w:r>
        <w:rPr>
          <w:rtl w:val="true"/>
        </w:rPr>
        <w:t xml:space="preserve">, </w:t>
      </w:r>
      <w:r>
        <w:rPr>
          <w:rtl w:val="true"/>
        </w:rPr>
        <w:t>הוא חשף בפני חוקריו את כל הידוע לו אודות הנשק והתחמושת</w:t>
      </w:r>
      <w:r>
        <w:rPr>
          <w:rtl w:val="true"/>
        </w:rPr>
        <w:t xml:space="preserve">. </w:t>
      </w:r>
      <w:r>
        <w:rPr>
          <w:rtl w:val="true"/>
        </w:rPr>
        <w:t>לו היה מוגש כתב האישום המתוקן ככתב אישום מקורי</w:t>
      </w:r>
      <w:r>
        <w:rPr>
          <w:rtl w:val="true"/>
        </w:rPr>
        <w:t xml:space="preserve">, </w:t>
      </w:r>
      <w:r>
        <w:rPr>
          <w:rtl w:val="true"/>
        </w:rPr>
        <w:t>הסמכות היתה לבית משפט השלום</w:t>
      </w:r>
      <w:r>
        <w:rPr>
          <w:rtl w:val="true"/>
        </w:rPr>
        <w:t xml:space="preserve">. </w:t>
      </w:r>
      <w:r>
        <w:rPr>
          <w:rtl w:val="true"/>
        </w:rPr>
        <w:t>הנאשם בן למשפחה נורמטיבית</w:t>
      </w:r>
      <w:r>
        <w:rPr>
          <w:rtl w:val="true"/>
        </w:rPr>
        <w:t xml:space="preserve">, </w:t>
      </w:r>
      <w:r>
        <w:rPr>
          <w:rtl w:val="true"/>
        </w:rPr>
        <w:t>שאין לו כל שורשים עברייניים</w:t>
      </w:r>
      <w:r>
        <w:rPr>
          <w:rtl w:val="true"/>
        </w:rPr>
        <w:t xml:space="preserve">. </w:t>
      </w:r>
      <w:r>
        <w:rPr>
          <w:rtl w:val="true"/>
        </w:rPr>
        <w:t>הנאשם עשה מעשה שטות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tl w:val="true"/>
        </w:rPr>
        <w:t xml:space="preserve">. </w:t>
      </w:r>
      <w:r>
        <w:rPr>
          <w:rtl w:val="true"/>
        </w:rPr>
        <w:t>הוא לא יודע להשתמש בנשק</w:t>
      </w:r>
      <w:r>
        <w:rPr>
          <w:rtl w:val="true"/>
        </w:rPr>
        <w:t xml:space="preserve">, </w:t>
      </w:r>
      <w:r>
        <w:rPr>
          <w:rtl w:val="true"/>
        </w:rPr>
        <w:t>בכל אופן לא הובאה ראיה שהוא יודע לירות ולהשתמש בנשק</w:t>
      </w:r>
      <w:r>
        <w:rPr>
          <w:rtl w:val="true"/>
        </w:rPr>
        <w:t xml:space="preserve">. </w:t>
      </w:r>
      <w:r>
        <w:rPr>
          <w:rtl w:val="true"/>
        </w:rPr>
        <w:t>עבור הנאשם ומשפחתו מדובר בחוויה קשה מאוד</w:t>
      </w:r>
      <w:r>
        <w:rPr>
          <w:rtl w:val="true"/>
        </w:rPr>
        <w:t xml:space="preserve">, </w:t>
      </w:r>
      <w:r>
        <w:rPr>
          <w:rtl w:val="true"/>
        </w:rPr>
        <w:t>הפן ההרתעתי מוצה במעצרו עד כה</w:t>
      </w:r>
      <w:r>
        <w:rPr>
          <w:rtl w:val="true"/>
        </w:rPr>
        <w:t xml:space="preserve">. </w:t>
      </w:r>
      <w:r>
        <w:rPr>
          <w:rtl w:val="true"/>
        </w:rPr>
        <w:t>הנאשם לקח אחריות</w:t>
      </w:r>
      <w:r>
        <w:rPr>
          <w:rtl w:val="true"/>
        </w:rPr>
        <w:t xml:space="preserve">. </w:t>
      </w:r>
      <w:r>
        <w:rPr>
          <w:rtl w:val="true"/>
        </w:rPr>
        <w:t>הוא מסרב לחשוף את מקור הנשק ואת העובדה שהוא הסתיר את הנשק עבור מישהו אחר</w:t>
      </w:r>
      <w:r>
        <w:rPr>
          <w:rtl w:val="true"/>
        </w:rPr>
        <w:t xml:space="preserve">, </w:t>
      </w:r>
      <w:r>
        <w:rPr>
          <w:rtl w:val="true"/>
        </w:rPr>
        <w:t>וזאת מתוך חשש שיבולע לו</w:t>
      </w:r>
      <w:r>
        <w:rPr>
          <w:rtl w:val="true"/>
        </w:rPr>
        <w:t xml:space="preserve">. </w:t>
      </w:r>
      <w:r>
        <w:rPr>
          <w:rtl w:val="true"/>
        </w:rPr>
        <w:t>המשך מאסרו יחטיא את המטרה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עצמו ביקש את רחמי בית המשפט</w:t>
      </w:r>
      <w:r>
        <w:rPr>
          <w:rtl w:val="true"/>
        </w:rPr>
        <w:t xml:space="preserve">, </w:t>
      </w:r>
      <w:r>
        <w:rPr>
          <w:rtl w:val="true"/>
        </w:rPr>
        <w:t>אמר כי עשה טעות והבטיח כי לא יחזור על טעות זו לעולם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 מפורט הרקע המשפחתי של הנאשם</w:t>
      </w:r>
      <w:r>
        <w:rPr>
          <w:rtl w:val="true"/>
        </w:rPr>
        <w:t xml:space="preserve">. </w:t>
      </w:r>
      <w:r>
        <w:rPr>
          <w:rtl w:val="true"/>
        </w:rPr>
        <w:t>רמת תפקוד בני המשפחה מתוארת כתקינה</w:t>
      </w:r>
      <w:r>
        <w:rPr>
          <w:rtl w:val="true"/>
        </w:rPr>
        <w:t xml:space="preserve">, </w:t>
      </w:r>
      <w:r>
        <w:rPr>
          <w:rtl w:val="true"/>
        </w:rPr>
        <w:t>נעדרת מעורבות בפלילים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רמת הישגיו בינונית עד נמוכה ולכן בחר לעזוב את מסגרת הלימודים בהיותו תלמיד כיתה יא</w:t>
      </w:r>
      <w:r>
        <w:rPr>
          <w:rtl w:val="true"/>
        </w:rPr>
        <w:t xml:space="preserve">'. </w:t>
      </w:r>
      <w:r>
        <w:rPr>
          <w:rtl w:val="true"/>
        </w:rPr>
        <w:t>לאחר נשירתו מלימודים השתלב בעבודה כפועל בניין בעבודה לא רציפה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לעבירה בה הודה והורשע</w:t>
      </w:r>
      <w:r>
        <w:rPr>
          <w:rtl w:val="true"/>
        </w:rPr>
        <w:t xml:space="preserve">, </w:t>
      </w:r>
      <w:r>
        <w:rPr>
          <w:rtl w:val="true"/>
        </w:rPr>
        <w:t>הנאשם קיבל אחריות במובן הפורמאלי</w:t>
      </w:r>
      <w:r>
        <w:rPr>
          <w:rtl w:val="true"/>
        </w:rPr>
        <w:t xml:space="preserve">, </w:t>
      </w:r>
      <w:r>
        <w:rPr>
          <w:rtl w:val="true"/>
        </w:rPr>
        <w:t>תוך קושי בחשיפה ומסירת מידע</w:t>
      </w:r>
      <w:r>
        <w:rPr>
          <w:rtl w:val="true"/>
        </w:rPr>
        <w:t xml:space="preserve">, </w:t>
      </w:r>
      <w:r>
        <w:rPr>
          <w:rtl w:val="true"/>
        </w:rPr>
        <w:t>במהלך התקופה בה החזיק באקדח ובתחמושת התלבט אם לשתף את בני משפחתו</w:t>
      </w:r>
      <w:r>
        <w:rPr>
          <w:rtl w:val="true"/>
        </w:rPr>
        <w:t xml:space="preserve">, </w:t>
      </w:r>
      <w:r>
        <w:rPr>
          <w:rtl w:val="true"/>
        </w:rPr>
        <w:t>אך חשש שהוא עלול לסכן אותם ולכן לא חשף את הדברים בפני 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התקשה להסביר בפני קצין המבחן את המניע לביצוע העבירה ואי שיתוף בני משפחתו</w:t>
      </w:r>
      <w:r>
        <w:rPr>
          <w:rtl w:val="true"/>
        </w:rPr>
        <w:t xml:space="preserve">, </w:t>
      </w:r>
      <w:r>
        <w:rPr>
          <w:rtl w:val="true"/>
        </w:rPr>
        <w:t>במיוחד לאור היחסים הטובים השוררים במשפחה אותם תיארו הוא ומשפחתו</w:t>
      </w:r>
      <w:r>
        <w:rPr>
          <w:rtl w:val="true"/>
        </w:rPr>
        <w:t xml:space="preserve">. </w:t>
      </w:r>
      <w:r>
        <w:rPr>
          <w:rtl w:val="true"/>
        </w:rPr>
        <w:t>הנאשם חזר והדגיש כי פעל באופן מוטעה ולא שקול והוא חש צער וחרטה על כישלונו ההתנהגותי ועל מה שגרם 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ההתרשמות של שירות המבחן שמדובר בצעיר בעל אישיות שאיננה בשלה ומגובשת דייה</w:t>
      </w:r>
      <w:r>
        <w:rPr>
          <w:rtl w:val="true"/>
        </w:rPr>
        <w:t xml:space="preserve">. </w:t>
      </w:r>
      <w:r>
        <w:rPr>
          <w:rtl w:val="true"/>
        </w:rPr>
        <w:t>מגלה התייחסות שטחית ומצומצמת לקורה עמו</w:t>
      </w:r>
      <w:r>
        <w:rPr>
          <w:rtl w:val="true"/>
        </w:rPr>
        <w:t xml:space="preserve">, </w:t>
      </w:r>
      <w:r>
        <w:rPr>
          <w:rtl w:val="true"/>
        </w:rPr>
        <w:t>תוך קושי במתן אמון באחר וחשיפה עצמית</w:t>
      </w:r>
      <w:r>
        <w:rPr>
          <w:rtl w:val="true"/>
        </w:rPr>
        <w:t xml:space="preserve">, </w:t>
      </w:r>
      <w:r>
        <w:rPr>
          <w:rtl w:val="true"/>
        </w:rPr>
        <w:t>מגלה כוחות להתמודד עם מעצרו</w:t>
      </w:r>
      <w:r>
        <w:rPr>
          <w:rtl w:val="true"/>
        </w:rPr>
        <w:t xml:space="preserve">, </w:t>
      </w:r>
      <w:r>
        <w:rPr>
          <w:rtl w:val="true"/>
        </w:rPr>
        <w:t>שלל נזקקות למעורבות כלשהי במצבו</w:t>
      </w:r>
      <w:r>
        <w:rPr>
          <w:rtl w:val="true"/>
        </w:rPr>
        <w:t xml:space="preserve">. </w:t>
      </w:r>
      <w:r>
        <w:rPr>
          <w:rtl w:val="true"/>
        </w:rPr>
        <w:t>בהעדר ביטויי נזקקות ובשלות למעורבות טיפולית אין המלצה 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מעריך כי ענישה הכוללת מרכיב של מאסר בפועל לתקופה מידתית לפי שיקול דעת בית המשפט</w:t>
      </w:r>
      <w:r>
        <w:rPr>
          <w:rtl w:val="true"/>
        </w:rPr>
        <w:t xml:space="preserve">, </w:t>
      </w:r>
      <w:r>
        <w:rPr>
          <w:rtl w:val="true"/>
        </w:rPr>
        <w:t>שייקח בחשבון מחד את תקופת מעצרו ומאידך את ההשלכות השליליות שעלולות להיות לחשיפה ממושכת לנורמות עברייניות</w:t>
      </w:r>
      <w:r>
        <w:rPr>
          <w:rtl w:val="true"/>
        </w:rPr>
        <w:t xml:space="preserve">, </w:t>
      </w:r>
      <w:r>
        <w:rPr>
          <w:rtl w:val="true"/>
        </w:rPr>
        <w:t>יש בה כדי להוות גורם מרתיע להישנות עבירות 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העליון</w:t>
      </w:r>
      <w:r>
        <w:rPr>
          <w:rtl w:val="true"/>
        </w:rPr>
        <w:t xml:space="preserve">, </w:t>
      </w:r>
      <w:r>
        <w:rPr>
          <w:rtl w:val="true"/>
        </w:rPr>
        <w:t>בשורה של החלטות</w:t>
      </w:r>
      <w:r>
        <w:rPr>
          <w:rtl w:val="true"/>
        </w:rPr>
        <w:t xml:space="preserve">, </w:t>
      </w:r>
      <w:r>
        <w:rPr>
          <w:rtl w:val="true"/>
        </w:rPr>
        <w:t>גם מהתקופה האחרונה</w:t>
      </w:r>
      <w:r>
        <w:rPr>
          <w:rtl w:val="true"/>
        </w:rPr>
        <w:t xml:space="preserve">, </w:t>
      </w:r>
      <w:r>
        <w:rPr>
          <w:rtl w:val="true"/>
        </w:rPr>
        <w:t>העלה את רף הענישה בעבירות נשק תוך שהוא מסביר את חומרתן ומסוכנותן לחברה של עבירות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 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 נפאע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קבע בית המשפט העליון כי זמינותו של נשק חם ורב עוצמה שיש עמו פוטנציאל להסלמה באלימות העבריינית והאידיאולוגית – מחייבת מתן ביטוי עונשי הולם והחמרה ברמת הענישה</w:t>
      </w:r>
      <w:r>
        <w:rPr>
          <w:rtl w:val="true"/>
        </w:rPr>
        <w:t xml:space="preserve">. </w:t>
      </w:r>
      <w:r>
        <w:rPr>
          <w:rtl w:val="true"/>
        </w:rPr>
        <w:t>הגיעה השעה להחמיר בעבירות של החזקת נשק ושימוש בו</w:t>
      </w:r>
      <w:r>
        <w:rPr>
          <w:rtl w:val="true"/>
        </w:rPr>
        <w:t xml:space="preserve">. </w:t>
      </w:r>
      <w:r>
        <w:rPr>
          <w:rtl w:val="true"/>
        </w:rPr>
        <w:t>בית המשפט איננו כפוף לרף הענישה שהיה נהוג</w:t>
      </w:r>
      <w:r>
        <w:rPr>
          <w:rtl w:val="true"/>
        </w:rPr>
        <w:t xml:space="preserve">, </w:t>
      </w:r>
      <w:r>
        <w:rPr>
          <w:rtl w:val="true"/>
        </w:rPr>
        <w:t>ופשיטא כי רשאי הוא</w:t>
      </w:r>
      <w:r>
        <w:rPr>
          <w:rtl w:val="true"/>
        </w:rPr>
        <w:t xml:space="preserve">, </w:t>
      </w:r>
      <w:r>
        <w:rPr>
          <w:rtl w:val="true"/>
        </w:rPr>
        <w:t>כשהשעה צריכה לכך</w:t>
      </w:r>
      <w:r>
        <w:rPr>
          <w:rtl w:val="true"/>
        </w:rPr>
        <w:t xml:space="preserve">, </w:t>
      </w:r>
      <w:r>
        <w:rPr>
          <w:rtl w:val="true"/>
        </w:rPr>
        <w:t>להחמיר ולהעלות את רף הענישה</w:t>
      </w:r>
      <w:r>
        <w:rPr>
          <w:rtl w:val="true"/>
        </w:rPr>
        <w:t xml:space="preserve">, </w:t>
      </w:r>
      <w:r>
        <w:rPr>
          <w:rtl w:val="true"/>
        </w:rPr>
        <w:t>ובלבד שהדבר יעשה באופן הדרגתי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color w:val="0000FF"/>
            <w:u w:val="single"/>
          </w:rPr>
          <w:t>4831/03</w:t>
        </w:r>
      </w:hyperlink>
      <w:r>
        <w:rPr>
          <w:rtl w:val="true"/>
        </w:rPr>
        <w:t xml:space="preserve"> </w:t>
      </w:r>
      <w:r>
        <w:rPr>
          <w:rtl w:val="true"/>
        </w:rPr>
        <w:t>אבו בכר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 נקבע כי כל מי שהופך עצמו לחוליה במנגנון זה של סחר בלתי חוקי בנשק</w:t>
      </w:r>
      <w:r>
        <w:rPr>
          <w:rtl w:val="true"/>
        </w:rPr>
        <w:t xml:space="preserve">, </w:t>
      </w:r>
      <w:r>
        <w:rPr>
          <w:rtl w:val="true"/>
        </w:rPr>
        <w:t>מוחזק כמי שמבין ויודע אל נכון מה עלולות להיות התוצאות הנובעות ממעשיו ומה הן הסכנות הנשקפות ממעשים אלה לחברה כולה</w:t>
      </w:r>
      <w:r>
        <w:rPr>
          <w:rtl w:val="true"/>
        </w:rPr>
        <w:t xml:space="preserve">. </w:t>
      </w:r>
      <w:r>
        <w:rPr>
          <w:rtl w:val="true"/>
        </w:rPr>
        <w:t xml:space="preserve">וכן ראה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rtl w:val="true"/>
        </w:rPr>
        <w:t>מתאני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בעניין </w:t>
      </w:r>
      <w:r>
        <w:rPr>
          <w:rtl w:val="true"/>
        </w:rPr>
        <w:t>"</w:t>
      </w:r>
      <w:r>
        <w:rPr>
          <w:rtl w:val="true"/>
        </w:rPr>
        <w:t>נפאע</w:t>
      </w:r>
      <w:r>
        <w:rPr>
          <w:rtl w:val="true"/>
        </w:rPr>
        <w:t xml:space="preserve">"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קבע בית משפט כי נסיבות אישיות</w:t>
      </w:r>
      <w:r>
        <w:rPr>
          <w:rtl w:val="true"/>
        </w:rPr>
        <w:t xml:space="preserve">, </w:t>
      </w:r>
      <w:r>
        <w:rPr>
          <w:rtl w:val="true"/>
        </w:rPr>
        <w:t>מצוקה כלכלית וכן יתר השיקולים</w:t>
      </w:r>
      <w:r>
        <w:rPr>
          <w:rtl w:val="true"/>
        </w:rPr>
        <w:t xml:space="preserve">, </w:t>
      </w:r>
      <w:r>
        <w:rPr>
          <w:rtl w:val="true"/>
        </w:rPr>
        <w:t>ההודאה והחיסכון בזמן השיפוטי וכן נסיבות מקלות נוספות ואורח חיים נורמטיבי</w:t>
      </w:r>
      <w:r>
        <w:rPr>
          <w:rtl w:val="true"/>
        </w:rPr>
        <w:t xml:space="preserve">, </w:t>
      </w:r>
      <w:r>
        <w:rPr>
          <w:rtl w:val="true"/>
        </w:rPr>
        <w:t>אין בהם כדי להכריע את הכף נגד החמרה 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>ד 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rtl w:val="true"/>
        </w:rPr>
        <w:t>נידאל נאסר</w:t>
      </w:r>
      <w:r>
        <w:rPr>
          <w:rtl w:val="true"/>
        </w:rPr>
        <w:t xml:space="preserve">, </w:t>
      </w:r>
      <w:r>
        <w:rPr>
          <w:rtl w:val="true"/>
        </w:rPr>
        <w:t>דחה בית המשפט העליון ערעור על פס</w:t>
      </w:r>
      <w:r>
        <w:rPr>
          <w:rtl w:val="true"/>
        </w:rPr>
        <w:t>"</w:t>
      </w:r>
      <w:r>
        <w:rPr>
          <w:rtl w:val="true"/>
        </w:rPr>
        <w:t xml:space="preserve">ד של בית המשפט המחוזי נצרת </w:t>
      </w:r>
      <w:r>
        <w:rPr>
          <w:rtl w:val="true"/>
        </w:rPr>
        <w:t>[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הנשיא כהן</w:t>
      </w:r>
      <w:r>
        <w:rPr>
          <w:rtl w:val="true"/>
        </w:rPr>
        <w:t xml:space="preserve">] </w:t>
      </w:r>
      <w:r>
        <w:rPr>
          <w:rtl w:val="true"/>
        </w:rPr>
        <w:t xml:space="preserve">שהרשיע את המערער על פי הודאתו בעובדות כתב אישום מתוקן בעבירות של החזקת נשק ותחמושת –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כמו במקרה שבפני</w:t>
      </w:r>
      <w:r>
        <w:rPr>
          <w:rtl w:val="true"/>
        </w:rPr>
        <w:t xml:space="preserve">, </w:t>
      </w:r>
      <w:r>
        <w:rPr>
          <w:rtl w:val="true"/>
        </w:rPr>
        <w:t xml:space="preserve">וגזר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 וקנס כספי</w:t>
      </w:r>
      <w:r>
        <w:rPr>
          <w:rtl w:val="true"/>
        </w:rPr>
        <w:t xml:space="preserve">. </w:t>
      </w:r>
      <w:r>
        <w:rPr>
          <w:rtl w:val="true"/>
        </w:rPr>
        <w:t xml:space="preserve">שם נתפסו אצל המערער בחיפוש בביתו אקדח מסוג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 xml:space="preserve">ומחסנית לאקדח ובה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שם עמד בית המשפט על החומרה היתרה הנודעת לעבירה של החזקת נשק ועל המסוכנות הנשקפת מאדם שבוחר להחזיק נשק כאשר הוא איננו מורשה לכך</w:t>
      </w:r>
      <w:r>
        <w:rPr>
          <w:rtl w:val="true"/>
        </w:rPr>
        <w:t xml:space="preserve">. </w:t>
      </w:r>
      <w:r>
        <w:rPr>
          <w:rtl w:val="true"/>
        </w:rPr>
        <w:t>אף אם האקדח שנתפס לא היה תקין</w:t>
      </w:r>
      <w:r>
        <w:rPr>
          <w:rtl w:val="true"/>
        </w:rPr>
        <w:t xml:space="preserve">, </w:t>
      </w:r>
      <w:r>
        <w:rPr>
          <w:rtl w:val="true"/>
        </w:rPr>
        <w:t>אין בכך כדי למזער את המסוכנות</w:t>
      </w:r>
      <w:r>
        <w:rPr>
          <w:rtl w:val="true"/>
        </w:rPr>
        <w:t xml:space="preserve">. </w:t>
      </w:r>
      <w:r>
        <w:rPr>
          <w:rtl w:val="true"/>
        </w:rPr>
        <w:t>בית המשפט גזר את העונש האמור לאחר ששקל את הנסיבות העומדות לזכותו של הנאשם</w:t>
      </w:r>
      <w:r>
        <w:rPr>
          <w:rtl w:val="true"/>
        </w:rPr>
        <w:t xml:space="preserve">, </w:t>
      </w:r>
      <w:r>
        <w:rPr>
          <w:rtl w:val="true"/>
        </w:rPr>
        <w:t>בהתייחסו להודאתו וחרטתו</w:t>
      </w:r>
      <w:r>
        <w:rPr>
          <w:rtl w:val="true"/>
        </w:rPr>
        <w:t xml:space="preserve">, </w:t>
      </w:r>
      <w:r>
        <w:rPr>
          <w:rtl w:val="true"/>
        </w:rPr>
        <w:t>להיותו של הנאשם עובד נאמן ומסור ואדם תורם לקהילה</w:t>
      </w:r>
      <w:r>
        <w:rPr>
          <w:rtl w:val="true"/>
        </w:rPr>
        <w:t xml:space="preserve">, </w:t>
      </w:r>
      <w:r>
        <w:rPr>
          <w:rtl w:val="true"/>
        </w:rPr>
        <w:t>לעברו הפלילי שאיננו מכביד</w:t>
      </w:r>
      <w:r>
        <w:rPr>
          <w:rtl w:val="true"/>
        </w:rPr>
        <w:t xml:space="preserve">, </w:t>
      </w:r>
      <w:r>
        <w:rPr>
          <w:rtl w:val="true"/>
        </w:rPr>
        <w:t>לנסיבותיו המשפחתית ולמצבו הבריאותי של בנו ולתסקיר החיובי שהוגש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 המשפט העליון קבע כי העונש שהושת על המערער על ידי בית המשפט המחוזי היה ראוי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מציין </w:t>
      </w:r>
      <w:r>
        <w:rPr>
          <w:rtl w:val="true"/>
        </w:rPr>
        <w:t>"</w:t>
      </w:r>
      <w:r>
        <w:rPr>
          <w:b/>
          <w:b/>
          <w:bCs/>
          <w:rtl w:val="true"/>
        </w:rPr>
        <w:t>לא אחת עמד בית משפט זה על החומרה היתרה הנודעת לעבירות נשק 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ולעבירות החזקת נשק 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המקימות סיכון ממשי וחמור לציבור ויוצרות פוטנציאל להסלמה 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 מחייבת ליתן ביטוי עונשי הולם ומרתיע באמצעות הרחקת מבצע העבירה לתקופה מסוימת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5921/08</w:t>
        </w:r>
      </w:hyperlink>
      <w:r>
        <w:rPr>
          <w:rtl w:val="true"/>
        </w:rPr>
        <w:t xml:space="preserve"> </w:t>
      </w:r>
      <w:r>
        <w:rPr>
          <w:rtl w:val="true"/>
        </w:rPr>
        <w:t>פלוני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rtl w:val="true"/>
        </w:rPr>
        <w:t xml:space="preserve"> </w:t>
      </w:r>
      <w:r>
        <w:rPr>
          <w:rtl w:val="true"/>
        </w:rPr>
        <w:t>אלקיעאן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6583/00</w:t>
        </w:r>
      </w:hyperlink>
      <w:r>
        <w:rPr>
          <w:rtl w:val="true"/>
        </w:rPr>
        <w:t xml:space="preserve"> </w:t>
      </w:r>
      <w:r>
        <w:rPr>
          <w:rtl w:val="true"/>
        </w:rPr>
        <w:t>אדהם 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 שבפני שקלתי לקולא את הנסיבות המקלות כפי שפורטו על ידי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ובכלל זה את גילו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חרטתו וכן הרקע המשפחתי ושאר הנסיבות המקלות</w:t>
      </w:r>
      <w:r>
        <w:rPr>
          <w:rtl w:val="true"/>
        </w:rPr>
        <w:t xml:space="preserve">, </w:t>
      </w:r>
      <w:r>
        <w:rPr>
          <w:rtl w:val="true"/>
        </w:rPr>
        <w:t>כפי שניתן לדלות מתסקיר ק</w:t>
      </w:r>
      <w:r>
        <w:rPr>
          <w:rtl w:val="true"/>
        </w:rPr>
        <w:t>.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 של הנאשם</w:t>
      </w:r>
      <w:r>
        <w:rPr>
          <w:rtl w:val="true"/>
        </w:rPr>
        <w:t xml:space="preserve">, </w:t>
      </w:r>
      <w:r>
        <w:rPr>
          <w:rtl w:val="true"/>
        </w:rPr>
        <w:t>על הרקע של המדיניות של ההחמרה בענישה</w:t>
      </w:r>
      <w:r>
        <w:rPr>
          <w:rtl w:val="true"/>
        </w:rPr>
        <w:t xml:space="preserve">, </w:t>
      </w:r>
      <w:r>
        <w:rPr>
          <w:rtl w:val="true"/>
        </w:rPr>
        <w:t xml:space="preserve">יש לזקוף את העובדה ששירות המבחן לא בא בהמלצה טיפולית </w:t>
      </w:r>
      <w:r>
        <w:rPr>
          <w:rtl w:val="true"/>
        </w:rPr>
        <w:t xml:space="preserve">, </w:t>
      </w:r>
      <w:r>
        <w:rPr>
          <w:rtl w:val="true"/>
        </w:rPr>
        <w:t>והוא אף סבור שיש מקום להטלת עונש של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יש לזקוף לחובת הנאשם את העובדה העולה מתוך התסקיר ואף מתוך טיעוני בא כוחו של הנאשם ולפיה הנאשם החזיק את הנשק והתחמושת עבור 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ככל הנראה גורם שלילי</w:t>
      </w:r>
      <w:r>
        <w:rPr>
          <w:rtl w:val="true"/>
        </w:rPr>
        <w:t xml:space="preserve">. </w:t>
      </w:r>
      <w:r>
        <w:rPr>
          <w:rtl w:val="true"/>
        </w:rPr>
        <w:t>הנאשם בחר לשמור בעניין זה את המידע לעצמו</w:t>
      </w:r>
      <w:r>
        <w:rPr>
          <w:rtl w:val="true"/>
        </w:rPr>
        <w:t xml:space="preserve">, </w:t>
      </w:r>
      <w:r>
        <w:rPr>
          <w:rtl w:val="true"/>
        </w:rPr>
        <w:t>אך אין ספק שעובדה זו מחזקת את החשש מהפוטנציאל העברייני</w:t>
      </w:r>
      <w:r>
        <w:rPr>
          <w:rtl w:val="true"/>
        </w:rPr>
        <w:t xml:space="preserve">, </w:t>
      </w:r>
      <w:r>
        <w:rPr>
          <w:rtl w:val="true"/>
        </w:rPr>
        <w:t>אם לא מעבר לכך</w:t>
      </w:r>
      <w:r>
        <w:rPr>
          <w:rtl w:val="true"/>
        </w:rPr>
        <w:t xml:space="preserve">, </w:t>
      </w:r>
      <w:r>
        <w:rPr>
          <w:rtl w:val="true"/>
        </w:rPr>
        <w:t>של החזקת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דומה מחזיק נשק כ</w:t>
      </w:r>
      <w:r>
        <w:rPr>
          <w:rtl w:val="true"/>
        </w:rPr>
        <w:t>"</w:t>
      </w:r>
      <w:r>
        <w:rPr>
          <w:rtl w:val="true"/>
        </w:rPr>
        <w:t>תחביב</w:t>
      </w:r>
      <w:r>
        <w:rPr>
          <w:rtl w:val="true"/>
        </w:rPr>
        <w:t xml:space="preserve">" </w:t>
      </w:r>
      <w:r>
        <w:rPr>
          <w:rtl w:val="true"/>
        </w:rPr>
        <w:t xml:space="preserve">לזה המחזיק אותו לצרכי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 </w:t>
      </w:r>
      <w:r>
        <w:rPr>
          <w:rtl w:val="true"/>
        </w:rPr>
        <w:t xml:space="preserve">ולבין זה המחזיק אותו עבור 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חומרה נוספת היא העובדה שהנאשם החזיק </w:t>
      </w:r>
      <w:r>
        <w:rPr>
          <w:rtl w:val="true"/>
        </w:rPr>
        <w:t>"</w:t>
      </w:r>
      <w:r>
        <w:rPr>
          <w:rtl w:val="true"/>
        </w:rPr>
        <w:t>מגוון</w:t>
      </w:r>
      <w:r>
        <w:rPr>
          <w:rtl w:val="true"/>
        </w:rPr>
        <w:t xml:space="preserve">" </w:t>
      </w:r>
      <w:r>
        <w:rPr>
          <w:rtl w:val="true"/>
        </w:rPr>
        <w:t>של תחמושת</w:t>
      </w:r>
      <w:r>
        <w:rPr>
          <w:rtl w:val="true"/>
        </w:rPr>
        <w:t xml:space="preserve">. </w:t>
      </w:r>
      <w:r>
        <w:rPr>
          <w:rtl w:val="true"/>
        </w:rPr>
        <w:t>אין מדובר רק בתחמושת המיועדת לאקדח</w:t>
      </w:r>
      <w:r>
        <w:rPr>
          <w:rtl w:val="true"/>
        </w:rPr>
        <w:t xml:space="preserve">, </w:t>
      </w:r>
      <w:r>
        <w:rPr>
          <w:rtl w:val="true"/>
        </w:rPr>
        <w:t>אלא בכמות נכבדה של תחמושת המשמשת כלי ירייה אחרים</w:t>
      </w:r>
      <w:r>
        <w:rPr>
          <w:rtl w:val="true"/>
        </w:rPr>
        <w:t xml:space="preserve">. </w:t>
      </w:r>
      <w:r>
        <w:rPr>
          <w:rtl w:val="true"/>
        </w:rPr>
        <w:t xml:space="preserve">שלא כמו בעניין </w:t>
      </w:r>
      <w:r>
        <w:rPr>
          <w:rtl w:val="true"/>
        </w:rPr>
        <w:t>"</w:t>
      </w:r>
      <w:r>
        <w:rPr>
          <w:rtl w:val="true"/>
        </w:rPr>
        <w:t>נידאל נאסר</w:t>
      </w:r>
      <w:r>
        <w:rPr>
          <w:rtl w:val="true"/>
        </w:rPr>
        <w:t xml:space="preserve">" </w:t>
      </w:r>
      <w:r>
        <w:rPr>
          <w:rtl w:val="true"/>
        </w:rPr>
        <w:t xml:space="preserve">שם החזיק הנאשם באקדח שהיתה שאלה לגבי תקינותו ובמחסנית אחת לאקדח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 </w:t>
      </w:r>
      <w:r>
        <w:rPr>
          <w:rtl w:val="true"/>
        </w:rPr>
        <w:t>במקרה שלנו</w:t>
      </w:r>
      <w:r>
        <w:rPr>
          <w:rtl w:val="true"/>
        </w:rPr>
        <w:t xml:space="preserve">, </w:t>
      </w:r>
      <w:r>
        <w:rPr>
          <w:rtl w:val="true"/>
        </w:rPr>
        <w:t>אין מחלוקת שהאקדח נבדק ונמצא 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>לקולא ולחומרא</w:t>
      </w:r>
      <w:r>
        <w:rPr>
          <w:rtl w:val="true"/>
        </w:rPr>
        <w:t xml:space="preserve">, </w:t>
      </w:r>
      <w:r>
        <w:rPr>
          <w:rtl w:val="true"/>
        </w:rPr>
        <w:t>ולאור ההלכות בעניין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אני גוזר את עונשו של הנאשם לעונש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–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חודשים לריצוי בפועל החל מיום מעצרו – </w:t>
      </w:r>
      <w:r>
        <w:rPr/>
        <w:t>15/9/11</w:t>
      </w:r>
      <w:r>
        <w:rPr>
          <w:rtl w:val="true"/>
        </w:rPr>
        <w:t xml:space="preserve">, </w:t>
      </w:r>
      <w:r>
        <w:rPr>
          <w:rtl w:val="true"/>
        </w:rPr>
        <w:t xml:space="preserve">והיתרה –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נוספים  על תנאי ל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אם יעבור עבירה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או ניסיון לעבירת נשק לפי סעיף </w:t>
      </w:r>
      <w:r>
        <w:rPr/>
        <w:t>144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יוסף בן חמו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חמו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41029-09-11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עאטף דוכאן</w:t>
    </w:r>
    <w:r>
      <w:rPr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2251/11" TargetMode="External"/><Relationship Id="rId4" Type="http://schemas.openxmlformats.org/officeDocument/2006/relationships/hyperlink" Target="http://www.nevo.co.il/links/psika/?link=&#1506;&#1508;%204831/03" TargetMode="External"/><Relationship Id="rId5" Type="http://schemas.openxmlformats.org/officeDocument/2006/relationships/hyperlink" Target="http://www.nevo.co.il/links/psika/?link=&#1506;&#1508;%208012/04" TargetMode="External"/><Relationship Id="rId6" Type="http://schemas.openxmlformats.org/officeDocument/2006/relationships/hyperlink" Target="http://www.nevo.co.il/links/psika/?link=&#1506;&#1508;%205604/11" TargetMode="External"/><Relationship Id="rId7" Type="http://schemas.openxmlformats.org/officeDocument/2006/relationships/hyperlink" Target="http://www.nevo.co.il/law_html/law01/073_002.htm" TargetMode="External"/><Relationship Id="rId8" Type="http://schemas.openxmlformats.org/officeDocument/2006/relationships/hyperlink" Target="http://www.nevo.co.il/links/psika/?link=&#1506;&#1508;%205921/08" TargetMode="External"/><Relationship Id="rId9" Type="http://schemas.openxmlformats.org/officeDocument/2006/relationships/hyperlink" Target="http://www.nevo.co.il/links/psika/?link=&#1506;&#1508;%206294/10" TargetMode="External"/><Relationship Id="rId10" Type="http://schemas.openxmlformats.org/officeDocument/2006/relationships/hyperlink" Target="http://www.nevo.co.il/links/psika/?link=&#1506;&#1508;%206583/00" TargetMode="External"/><Relationship Id="rId11" Type="http://schemas.openxmlformats.org/officeDocument/2006/relationships/hyperlink" Target="http://www.nevo.co.il/law_html/law01/073_002.htm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2012-01-08T13:00:00Z</dcterms:created>
  <dc:creator> </dc:creator>
  <dc:description/>
  <cp:keywords/>
  <dc:language>en-IL</dc:language>
  <cp:lastModifiedBy>hofit</cp:lastModifiedBy>
  <dcterms:modified xsi:type="dcterms:W3CDTF">2012-01-08T13:00:00Z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עאטף דוכאן,</vt:lpwstr>
  </property>
  <property fmtid="{D5CDD505-2E9C-101B-9397-08002B2CF9AE}" pid="4" name="CITY">
    <vt:lpwstr>נצ'</vt:lpwstr>
  </property>
  <property fmtid="{D5CDD505-2E9C-101B-9397-08002B2CF9AE}" pid="5" name="DATE">
    <vt:lpwstr>20120104</vt:lpwstr>
  </property>
  <property fmtid="{D5CDD505-2E9C-101B-9397-08002B2CF9AE}" pid="6" name="ISABSTRACT">
    <vt:lpwstr>Y</vt:lpwstr>
  </property>
  <property fmtid="{D5CDD505-2E9C-101B-9397-08002B2CF9AE}" pid="7" name="JUDGE">
    <vt:lpwstr>יוסף בן חמו</vt:lpwstr>
  </property>
  <property fmtid="{D5CDD505-2E9C-101B-9397-08002B2CF9AE}" pid="8" name="LAWYER">
    <vt:lpwstr>הליווי וכן;הובא הליווי וכן סרי חורי;קבלאוי</vt:lpwstr>
  </property>
  <property fmtid="{D5CDD505-2E9C-101B-9397-08002B2CF9AE}" pid="9" name="NEWPARTA">
    <vt:lpwstr>41029</vt:lpwstr>
  </property>
  <property fmtid="{D5CDD505-2E9C-101B-9397-08002B2CF9AE}" pid="10" name="NEWPARTB">
    <vt:lpwstr>09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390020120104</vt:lpwstr>
  </property>
  <property fmtid="{D5CDD505-2E9C-101B-9397-08002B2CF9AE}" pid="16" name="TYPE_N_DATE">
    <vt:lpwstr>39020120104</vt:lpwstr>
  </property>
  <property fmtid="{D5CDD505-2E9C-101B-9397-08002B2CF9AE}" pid="17" name="WORDNUMPAGES">
    <vt:lpwstr>4</vt:lpwstr>
  </property>
</Properties>
</file>