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sz w:val="20"/>
                <w:szCs w:val="20"/>
              </w:rPr>
            </w:pPr>
            <w:bookmarkStart w:id="0" w:name="LastJudge"/>
            <w:bookmarkStart w:id="1" w:name="FirstLawyer"/>
            <w:bookmarkEnd w:id="0"/>
            <w:bookmarkEnd w:id="1"/>
            <w:r>
              <w:rPr>
                <w:rFonts w:ascii="Tahoma" w:hAnsi="Tahoma" w:cs="Tahoma"/>
                <w:b/>
                <w:b/>
                <w:bCs/>
                <w:color w:val="000080"/>
                <w:sz w:val="20"/>
                <w:sz w:val="20"/>
                <w:szCs w:val="20"/>
                <w:rtl w:val="true"/>
              </w:rPr>
              <w:t>בית המשפט המחוזי בבאר שבע</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41228-03-18</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Cs/>
                <w:sz w:val="26"/>
                <w:szCs w:val="26"/>
              </w:rPr>
              <w:t>frank</w:t>
            </w:r>
            <w:r>
              <w:rPr>
                <w:b/>
                <w:bCs/>
                <w:sz w:val="26"/>
                <w:szCs w:val="26"/>
                <w:rtl w:val="true"/>
              </w:rPr>
              <w:t xml:space="preserve"> </w:t>
            </w:r>
            <w:r>
              <w:rPr>
                <w:b/>
                <w:b/>
                <w:bCs/>
                <w:sz w:val="26"/>
                <w:sz w:val="26"/>
                <w:szCs w:val="26"/>
                <w:rtl w:val="true"/>
              </w:rPr>
              <w:t>פרנק</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08</w:t>
            </w:r>
            <w:r>
              <w:rPr>
                <w:b/>
                <w:bCs/>
                <w:sz w:val="26"/>
                <w:szCs w:val="26"/>
                <w:rtl w:val="true"/>
              </w:rPr>
              <w:t xml:space="preserve"> </w:t>
            </w:r>
            <w:r>
              <w:rPr>
                <w:b/>
                <w:b/>
                <w:bCs/>
                <w:sz w:val="26"/>
                <w:sz w:val="26"/>
                <w:szCs w:val="26"/>
                <w:rtl w:val="true"/>
              </w:rPr>
              <w:t xml:space="preserve">אפריל </w:t>
            </w:r>
            <w:r>
              <w:rPr>
                <w:b/>
                <w:bCs/>
                <w:sz w:val="26"/>
                <w:szCs w:val="26"/>
              </w:rPr>
              <w:t>2019</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spacing w:lineRule="auto" w:line="360"/>
              <w:ind w:end="0"/>
              <w:jc w:val="both"/>
              <w:rPr>
                <w:rFonts w:ascii="Times New Roman" w:hAnsi="Times New Roman" w:cs="Times New Roman"/>
                <w:b/>
                <w:bCs/>
                <w:sz w:val="26"/>
                <w:szCs w:val="26"/>
              </w:rPr>
            </w:pPr>
            <w:r>
              <w:rPr>
                <w:rFonts w:ascii="Times New Roman" w:hAnsi="Times New Roman" w:cs="Times New Roman"/>
                <w:b/>
                <w:b/>
                <w:bCs/>
                <w:sz w:val="26"/>
                <w:sz w:val="26"/>
                <w:szCs w:val="26"/>
                <w:rtl w:val="true"/>
              </w:rPr>
              <w:t>לפני כבוד השופט דניאל בן טולילה</w:t>
            </w:r>
            <w:r>
              <w:rPr>
                <w:rStyle w:val="TimesNewRomanTimesNewRoman"/>
                <w:rtl w:val="true"/>
              </w:rPr>
              <w:t xml:space="preserve"> </w:t>
            </w:r>
          </w:p>
        </w:tc>
      </w:tr>
      <w:tr>
        <w:trPr>
          <w:trHeight w:val="724" w:hRule="atLeast"/>
          <w:cantSplit w:val="true"/>
        </w:trPr>
        <w:tc>
          <w:tcPr>
            <w:tcW w:w="2880" w:type="dxa"/>
            <w:gridSpan w:val="2"/>
            <w:tcBorders/>
            <w:tcMar>
              <w:start w:w="108" w:type="dxa"/>
              <w:end w:w="108" w:type="dxa"/>
            </w:tcMar>
          </w:tcPr>
          <w:p>
            <w:pPr>
              <w:pStyle w:val="Normal"/>
              <w:snapToGrid w:val="false"/>
              <w:ind w:start="26" w:end="0"/>
              <w:jc w:val="start"/>
              <w:rPr>
                <w:rFonts w:ascii="Times New Roman" w:hAnsi="Times New Roman" w:cs="Times New Roman"/>
                <w:b/>
                <w:bCs/>
                <w:sz w:val="26"/>
                <w:szCs w:val="26"/>
              </w:rPr>
            </w:pPr>
            <w:r>
              <w:rPr>
                <w:rFonts w:cs="Times New Roman" w:ascii="Times New Roman" w:hAnsi="Times New Roman"/>
                <w:b/>
                <w:bCs/>
                <w:sz w:val="26"/>
                <w:szCs w:val="26"/>
                <w:rtl w:val="true"/>
              </w:rPr>
            </w:r>
            <w:bookmarkStart w:id="2" w:name="FirstAppellant"/>
            <w:bookmarkStart w:id="3" w:name="FirstAppellant"/>
            <w:bookmarkEnd w:id="3"/>
          </w:p>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המאשימה</w:t>
            </w:r>
          </w:p>
        </w:tc>
        <w:tc>
          <w:tcPr>
            <w:tcW w:w="5922" w:type="dxa"/>
            <w:tcBorders/>
            <w:tcMar>
              <w:start w:w="108" w:type="dxa"/>
              <w:end w:w="108" w:type="dxa"/>
            </w:tcMar>
          </w:tcPr>
          <w:p>
            <w:pPr>
              <w:pStyle w:val="Normal"/>
              <w:snapToGrid w:val="false"/>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p>
            <w:pPr>
              <w:pStyle w:val="Normal"/>
              <w:ind w:end="0"/>
              <w:jc w:val="start"/>
              <w:rPr>
                <w:rFonts w:ascii="Times New Roman" w:hAnsi="Times New Roman" w:cs="Times New Roman"/>
                <w:b/>
                <w:bCs/>
                <w:sz w:val="26"/>
                <w:szCs w:val="26"/>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מדינת ישראל – פמ</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ד</w:t>
            </w:r>
            <w:r>
              <w:rPr>
                <w:rFonts w:cs="Times New Roman" w:ascii="Times New Roman" w:hAnsi="Times New Roman"/>
                <w:b/>
                <w:bCs/>
                <w:sz w:val="26"/>
                <w:szCs w:val="26"/>
                <w:rtl w:val="true"/>
              </w:rPr>
              <w:br/>
            </w:r>
            <w:r>
              <w:rPr>
                <w:rFonts w:ascii="Times New Roman" w:hAnsi="Times New Roman" w:cs="Times New Roman"/>
                <w:b/>
                <w:b/>
                <w:bCs/>
                <w:rtl w:val="true"/>
              </w:rPr>
              <w:t>ע</w:t>
            </w:r>
            <w:r>
              <w:rPr>
                <w:rFonts w:cs="Times New Roman" w:ascii="Times New Roman" w:hAnsi="Times New Roman"/>
                <w:b/>
                <w:bCs/>
                <w:rtl w:val="true"/>
              </w:rPr>
              <w:t>"</w:t>
            </w:r>
            <w:r>
              <w:rPr>
                <w:rFonts w:ascii="Times New Roman" w:hAnsi="Times New Roman" w:cs="Times New Roman"/>
                <w:b/>
                <w:b/>
                <w:bCs/>
                <w:rtl w:val="true"/>
              </w:rPr>
              <w:t>י ב</w:t>
            </w:r>
            <w:r>
              <w:rPr>
                <w:rFonts w:cs="Times New Roman" w:ascii="Times New Roman" w:hAnsi="Times New Roman"/>
                <w:b/>
                <w:bCs/>
                <w:rtl w:val="true"/>
              </w:rPr>
              <w:t>"</w:t>
            </w:r>
            <w:r>
              <w:rPr>
                <w:rFonts w:ascii="Times New Roman" w:hAnsi="Times New Roman" w:cs="Times New Roman"/>
                <w:b/>
                <w:b/>
                <w:bCs/>
                <w:rtl w:val="true"/>
              </w:rPr>
              <w:t>כ</w:t>
            </w:r>
            <w:r>
              <w:rPr>
                <w:rFonts w:cs="Times New Roman" w:ascii="Times New Roman" w:hAnsi="Times New Roman"/>
                <w:b/>
                <w:bCs/>
                <w:rtl w:val="true"/>
              </w:rPr>
              <w:t xml:space="preserve">, </w:t>
            </w:r>
            <w:r>
              <w:rPr>
                <w:rFonts w:ascii="Times New Roman" w:hAnsi="Times New Roman" w:cs="Times New Roman"/>
                <w:b/>
                <w:b/>
                <w:bCs/>
                <w:rtl w:val="true"/>
              </w:rPr>
              <w:t>עו</w:t>
            </w:r>
            <w:r>
              <w:rPr>
                <w:rFonts w:cs="Times New Roman" w:ascii="Times New Roman" w:hAnsi="Times New Roman"/>
                <w:b/>
                <w:bCs/>
                <w:rtl w:val="true"/>
              </w:rPr>
              <w:t>"</w:t>
            </w:r>
            <w:r>
              <w:rPr>
                <w:rFonts w:ascii="Times New Roman" w:hAnsi="Times New Roman" w:cs="Times New Roman"/>
                <w:b/>
                <w:b/>
                <w:bCs/>
                <w:rtl w:val="true"/>
              </w:rPr>
              <w:t>ד בר יוסף</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tc>
      </w:tr>
      <w:tr>
        <w:trPr/>
        <w:tc>
          <w:tcPr>
            <w:tcW w:w="8802" w:type="dxa"/>
            <w:gridSpan w:val="3"/>
            <w:tcBorders/>
            <w:tcMar>
              <w:start w:w="108" w:type="dxa"/>
              <w:end w:w="108" w:type="dxa"/>
            </w:tcMar>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הנאשמים</w:t>
            </w:r>
          </w:p>
        </w:tc>
        <w:tc>
          <w:tcPr>
            <w:tcW w:w="5922" w:type="dxa"/>
            <w:tcBorders/>
            <w:tcMar>
              <w:start w:w="108" w:type="dxa"/>
              <w:end w:w="108" w:type="dxa"/>
            </w:tcMar>
          </w:tcPr>
          <w:p>
            <w:pPr>
              <w:pStyle w:val="Normal"/>
              <w:ind w:end="0"/>
              <w:jc w:val="start"/>
              <w:rPr/>
            </w:pPr>
            <w:r>
              <w:rPr>
                <w:rFonts w:cs="Times New Roman" w:ascii="Times New Roman" w:hAnsi="Times New Roman"/>
                <w:b/>
                <w:bCs/>
                <w:sz w:val="26"/>
                <w:szCs w:val="26"/>
                <w:rtl w:val="true"/>
              </w:rPr>
              <w:t>.</w:t>
            </w:r>
            <w:r>
              <w:rPr>
                <w:rFonts w:cs="Times New Roman" w:ascii="Times New Roman" w:hAnsi="Times New Roman"/>
                <w:b/>
                <w:bCs/>
                <w:sz w:val="26"/>
                <w:szCs w:val="26"/>
              </w:rPr>
              <w:t>1</w:t>
            </w:r>
            <w:r>
              <w:rPr>
                <w:rFonts w:cs="Times New Roman" w:ascii="Times New Roman" w:hAnsi="Times New Roman"/>
                <w:rtl w:val="true"/>
              </w:rPr>
              <w:t xml:space="preserve"> </w:t>
            </w:r>
            <w:r>
              <w:rPr>
                <w:rFonts w:cs="Times New Roman" w:ascii="Times New Roman" w:hAnsi="Times New Roman"/>
                <w:b/>
                <w:bCs/>
                <w:sz w:val="26"/>
                <w:szCs w:val="26"/>
              </w:rPr>
              <w:t>romain</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 xml:space="preserve">רומן </w:t>
            </w:r>
            <w:r>
              <w:rPr>
                <w:rFonts w:cs="Times New Roman" w:ascii="Times New Roman" w:hAnsi="Times New Roman"/>
                <w:b/>
                <w:bCs/>
                <w:sz w:val="26"/>
                <w:szCs w:val="26"/>
              </w:rPr>
              <w:t>frank</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 xml:space="preserve">פרנק </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עציר</w:t>
            </w:r>
            <w:r>
              <w:rPr>
                <w:rFonts w:cs="Times New Roman" w:ascii="Times New Roman" w:hAnsi="Times New Roman"/>
                <w:b/>
                <w:bCs/>
                <w:sz w:val="26"/>
                <w:szCs w:val="26"/>
                <w:rtl w:val="true"/>
              </w:rPr>
              <w:t>)</w:t>
            </w:r>
            <w:r>
              <w:rPr>
                <w:rFonts w:cs="Times New Roman" w:ascii="Times New Roman" w:hAnsi="Times New Roman"/>
                <w:rtl w:val="true"/>
              </w:rPr>
              <w:t xml:space="preserve"> </w:t>
            </w:r>
            <w:r>
              <w:rPr>
                <w:rFonts w:ascii="Times New Roman" w:hAnsi="Times New Roman" w:cs="Times New Roman"/>
                <w:b/>
                <w:b/>
                <w:bCs/>
                <w:sz w:val="26"/>
                <w:sz w:val="26"/>
                <w:szCs w:val="26"/>
                <w:rtl w:val="true"/>
              </w:rPr>
              <w:t xml:space="preserve">דרכון  </w:t>
            </w:r>
            <w:r>
              <w:rPr>
                <w:rFonts w:cs="Times New Roman" w:ascii="Times New Roman" w:hAnsi="Times New Roman"/>
                <w:b/>
                <w:bCs/>
                <w:sz w:val="26"/>
                <w:szCs w:val="26"/>
              </w:rPr>
              <w:t>xxzzxxxxxx</w:t>
            </w:r>
            <w:r>
              <w:rPr>
                <w:rFonts w:cs="Times New Roman" w:ascii="Times New Roman" w:hAnsi="Times New Roman"/>
                <w:b/>
                <w:bCs/>
                <w:sz w:val="26"/>
                <w:szCs w:val="26"/>
                <w:rtl w:val="true"/>
              </w:rPr>
              <w:t xml:space="preserve"> </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tl w:val="true"/>
              </w:rPr>
              <w:t>.</w:t>
            </w:r>
            <w:r>
              <w:rPr>
                <w:rFonts w:cs="Times New Roman" w:ascii="Times New Roman" w:hAnsi="Times New Roman"/>
                <w:b/>
                <w:bCs/>
                <w:sz w:val="26"/>
                <w:szCs w:val="26"/>
              </w:rPr>
              <w:t>2</w:t>
            </w:r>
            <w:r>
              <w:rPr>
                <w:rFonts w:cs="Times New Roman" w:ascii="Times New Roman" w:hAnsi="Times New Roman"/>
                <w:rtl w:val="true"/>
              </w:rPr>
              <w:t xml:space="preserve"> </w:t>
            </w:r>
            <w:r>
              <w:rPr>
                <w:rFonts w:ascii="Times New Roman" w:hAnsi="Times New Roman" w:cs="Times New Roman"/>
                <w:b/>
                <w:b/>
                <w:bCs/>
                <w:sz w:val="26"/>
                <w:sz w:val="26"/>
                <w:szCs w:val="26"/>
                <w:rtl w:val="true"/>
              </w:rPr>
              <w:t xml:space="preserve">מופק אלעגלוני </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עציר</w:t>
            </w:r>
            <w:r>
              <w:rPr>
                <w:rFonts w:cs="Times New Roman" w:ascii="Times New Roman" w:hAnsi="Times New Roman"/>
                <w:b/>
                <w:bCs/>
                <w:sz w:val="26"/>
                <w:szCs w:val="26"/>
                <w:rtl w:val="true"/>
              </w:rPr>
              <w:t>)</w:t>
            </w:r>
            <w:r>
              <w:rPr>
                <w:rFonts w:cs="Times New Roman" w:ascii="Times New Roman" w:hAnsi="Times New Roman"/>
                <w:rtl w:val="true"/>
              </w:rPr>
              <w:t xml:space="preserve"> </w:t>
            </w:r>
            <w:r>
              <w:rPr>
                <w:rFonts w:ascii="Times New Roman" w:hAnsi="Times New Roman" w:cs="Times New Roman"/>
                <w:b/>
                <w:b/>
                <w:bCs/>
                <w:sz w:val="26"/>
                <w:sz w:val="26"/>
                <w:szCs w:val="26"/>
                <w:rtl w:val="true"/>
              </w:rPr>
              <w:t>תושבי איו</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 xml:space="preserve">ש  </w:t>
            </w:r>
            <w:r>
              <w:rPr>
                <w:rFonts w:cs="Times New Roman" w:ascii="Times New Roman" w:hAnsi="Times New Roman"/>
                <w:b/>
                <w:bCs/>
                <w:sz w:val="26"/>
                <w:szCs w:val="26"/>
              </w:rPr>
              <w:t>xxxxxxxxxx</w:t>
            </w:r>
          </w:p>
          <w:p>
            <w:pPr>
              <w:pStyle w:val="Normal"/>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tc>
      </w:tr>
    </w:tbl>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Normal"/>
        <w:spacing w:lineRule="auto" w:line="360"/>
        <w:ind w:end="0"/>
        <w:jc w:val="both"/>
        <w:rPr>
          <w:rFonts w:ascii="Calibri" w:hAnsi="Calibri" w:cs="Calibri"/>
          <w:b/>
          <w:bCs/>
        </w:rPr>
      </w:pPr>
      <w:r>
        <w:rPr>
          <w:rFonts w:ascii="Calibri" w:hAnsi="Calibri" w:cs="Calibri"/>
          <w:b/>
          <w:b/>
          <w:bCs/>
          <w:rtl w:val="true"/>
        </w:rPr>
        <w:t>נוכחים</w:t>
      </w:r>
      <w:r>
        <w:rPr>
          <w:rFonts w:cs="Calibri" w:ascii="Calibri" w:hAnsi="Calibri"/>
          <w:b/>
          <w:bCs/>
          <w:rtl w:val="true"/>
        </w:rPr>
        <w:t>:</w:t>
      </w:r>
    </w:p>
    <w:p>
      <w:pPr>
        <w:pStyle w:val="Normal"/>
        <w:spacing w:lineRule="auto" w:line="360"/>
        <w:ind w:end="0"/>
        <w:jc w:val="both"/>
        <w:rPr>
          <w:rFonts w:ascii="Calibri" w:hAnsi="Calibri" w:cs="Calibri"/>
          <w:b/>
          <w:bCs/>
        </w:rPr>
      </w:pPr>
      <w:bookmarkStart w:id="4" w:name="_ETM_Q_4116445"/>
      <w:bookmarkEnd w:id="4"/>
      <w:r>
        <w:rPr>
          <w:rFonts w:ascii="Calibri" w:hAnsi="Calibri" w:cs="Calibri"/>
          <w:b/>
          <w:b/>
          <w:bCs/>
          <w:rtl w:val="true"/>
        </w:rPr>
        <w:t>ב</w:t>
      </w:r>
      <w:r>
        <w:rPr>
          <w:rFonts w:cs="Calibri" w:ascii="Calibri" w:hAnsi="Calibri"/>
          <w:b/>
          <w:bCs/>
          <w:rtl w:val="true"/>
        </w:rPr>
        <w:t>"</w:t>
      </w:r>
      <w:r>
        <w:rPr>
          <w:rFonts w:ascii="Calibri" w:hAnsi="Calibri" w:cs="Calibri"/>
          <w:b/>
          <w:b/>
          <w:bCs/>
          <w:rtl w:val="true"/>
        </w:rPr>
        <w:t>כ</w:t>
      </w:r>
      <w:r>
        <w:rPr>
          <w:rFonts w:ascii="Calibri" w:hAnsi="Calibri" w:cs="Calibri"/>
          <w:b/>
          <w:b/>
          <w:bCs/>
          <w:rtl w:val="true"/>
        </w:rPr>
        <w:t xml:space="preserve"> </w:t>
      </w:r>
      <w:r>
        <w:rPr>
          <w:rFonts w:ascii="Calibri" w:hAnsi="Calibri" w:cs="Calibri"/>
          <w:b/>
          <w:b/>
          <w:bCs/>
          <w:rtl w:val="true"/>
        </w:rPr>
        <w:t>המאשימה</w:t>
      </w:r>
      <w:r>
        <w:rPr>
          <w:rFonts w:ascii="Calibri" w:hAnsi="Calibri" w:cs="Calibri"/>
          <w:b/>
          <w:b/>
          <w:bCs/>
          <w:rtl w:val="true"/>
        </w:rPr>
        <w:t xml:space="preserve"> – </w:t>
      </w:r>
      <w:bookmarkStart w:id="5" w:name="_ETM_Q_4119267"/>
      <w:bookmarkEnd w:id="5"/>
      <w:r>
        <w:rPr>
          <w:rFonts w:ascii="Calibri" w:hAnsi="Calibri" w:cs="Calibri"/>
          <w:b/>
          <w:b/>
          <w:bCs/>
          <w:rtl w:val="true"/>
        </w:rPr>
        <w:t>עו</w:t>
      </w:r>
      <w:r>
        <w:rPr>
          <w:rFonts w:cs="Calibri" w:ascii="Calibri" w:hAnsi="Calibri"/>
          <w:b/>
          <w:bCs/>
          <w:rtl w:val="true"/>
        </w:rPr>
        <w:t>"</w:t>
      </w:r>
      <w:r>
        <w:rPr>
          <w:rFonts w:ascii="Calibri" w:hAnsi="Calibri" w:cs="Calibri"/>
          <w:b/>
          <w:b/>
          <w:bCs/>
          <w:rtl w:val="true"/>
        </w:rPr>
        <w:t>ד</w:t>
      </w:r>
      <w:r>
        <w:rPr>
          <w:rFonts w:ascii="Calibri" w:hAnsi="Calibri" w:cs="Calibri"/>
          <w:b/>
          <w:b/>
          <w:bCs/>
          <w:rtl w:val="true"/>
        </w:rPr>
        <w:t xml:space="preserve"> </w:t>
      </w:r>
      <w:r>
        <w:rPr>
          <w:rFonts w:ascii="Calibri" w:hAnsi="Calibri" w:cs="Calibri"/>
          <w:b/>
          <w:b/>
          <w:bCs/>
          <w:rtl w:val="true"/>
        </w:rPr>
        <w:t>אסף</w:t>
      </w:r>
      <w:r>
        <w:rPr>
          <w:rFonts w:ascii="Calibri" w:hAnsi="Calibri" w:cs="Calibri"/>
          <w:b/>
          <w:b/>
          <w:bCs/>
          <w:rtl w:val="true"/>
        </w:rPr>
        <w:t xml:space="preserve"> </w:t>
      </w:r>
      <w:r>
        <w:rPr>
          <w:rFonts w:ascii="Calibri" w:hAnsi="Calibri" w:cs="Calibri"/>
          <w:b/>
          <w:b/>
          <w:bCs/>
          <w:rtl w:val="true"/>
        </w:rPr>
        <w:t>בר</w:t>
      </w:r>
      <w:r>
        <w:rPr>
          <w:rFonts w:ascii="Calibri" w:hAnsi="Calibri" w:cs="Calibri"/>
          <w:b/>
          <w:b/>
          <w:bCs/>
          <w:rtl w:val="true"/>
        </w:rPr>
        <w:t xml:space="preserve"> </w:t>
      </w:r>
      <w:r>
        <w:rPr>
          <w:rFonts w:ascii="Calibri" w:hAnsi="Calibri" w:cs="Calibri"/>
          <w:b/>
          <w:b/>
          <w:bCs/>
          <w:rtl w:val="true"/>
        </w:rPr>
        <w:t>יוסף</w:t>
      </w:r>
      <w:bookmarkStart w:id="6" w:name="_ETM_Q_4121547"/>
      <w:bookmarkEnd w:id="6"/>
    </w:p>
    <w:p>
      <w:pPr>
        <w:pStyle w:val="Normal"/>
        <w:spacing w:lineRule="auto" w:line="360"/>
        <w:ind w:end="0"/>
        <w:jc w:val="both"/>
        <w:rPr>
          <w:rFonts w:ascii="Calibri" w:hAnsi="Calibri" w:cs="Calibri"/>
          <w:b/>
          <w:bCs/>
        </w:rPr>
      </w:pPr>
      <w:r>
        <w:rPr>
          <w:rFonts w:ascii="Calibri" w:hAnsi="Calibri" w:cs="Calibri"/>
          <w:b/>
          <w:b/>
          <w:bCs/>
          <w:rtl w:val="true"/>
        </w:rPr>
        <w:t>ב</w:t>
      </w:r>
      <w:r>
        <w:rPr>
          <w:rFonts w:cs="Calibri" w:ascii="Calibri" w:hAnsi="Calibri"/>
          <w:b/>
          <w:bCs/>
          <w:rtl w:val="true"/>
        </w:rPr>
        <w:t>"</w:t>
      </w:r>
      <w:r>
        <w:rPr>
          <w:rFonts w:ascii="Calibri" w:hAnsi="Calibri" w:cs="Calibri"/>
          <w:b/>
          <w:b/>
          <w:bCs/>
          <w:rtl w:val="true"/>
        </w:rPr>
        <w:t>כ</w:t>
      </w:r>
      <w:r>
        <w:rPr>
          <w:rFonts w:ascii="Calibri" w:hAnsi="Calibri" w:cs="Calibri"/>
          <w:b/>
          <w:b/>
          <w:bCs/>
          <w:rtl w:val="true"/>
        </w:rPr>
        <w:t xml:space="preserve"> </w:t>
      </w:r>
      <w:r>
        <w:rPr>
          <w:rFonts w:ascii="Calibri" w:hAnsi="Calibri" w:cs="Calibri"/>
          <w:b/>
          <w:b/>
          <w:bCs/>
          <w:rtl w:val="true"/>
        </w:rPr>
        <w:t>הנאשם</w:t>
      </w:r>
      <w:r>
        <w:rPr>
          <w:rFonts w:ascii="Calibri" w:hAnsi="Calibri" w:cs="Calibri"/>
          <w:b/>
          <w:b/>
          <w:bCs/>
          <w:rtl w:val="true"/>
        </w:rPr>
        <w:t xml:space="preserve"> </w:t>
      </w:r>
      <w:r>
        <w:rPr>
          <w:rFonts w:cs="Calibri" w:ascii="Calibri" w:hAnsi="Calibri"/>
          <w:b/>
          <w:bCs/>
        </w:rPr>
        <w:t>1</w:t>
      </w:r>
      <w:r>
        <w:rPr>
          <w:rFonts w:cs="Calibri" w:ascii="Calibri" w:hAnsi="Calibri"/>
          <w:b/>
          <w:bCs/>
          <w:rtl w:val="true"/>
        </w:rPr>
        <w:t xml:space="preserve">  </w:t>
      </w:r>
      <w:r>
        <w:rPr>
          <w:rFonts w:ascii="Calibri" w:hAnsi="Calibri" w:cs="Calibri"/>
          <w:b/>
          <w:b/>
          <w:bCs/>
          <w:rtl w:val="true"/>
        </w:rPr>
        <w:t>עו</w:t>
      </w:r>
      <w:r>
        <w:rPr>
          <w:rFonts w:cs="Calibri" w:ascii="Calibri" w:hAnsi="Calibri"/>
          <w:b/>
          <w:bCs/>
          <w:rtl w:val="true"/>
        </w:rPr>
        <w:t>"</w:t>
      </w:r>
      <w:r>
        <w:rPr>
          <w:rFonts w:ascii="Calibri" w:hAnsi="Calibri" w:cs="Calibri"/>
          <w:b/>
          <w:b/>
          <w:bCs/>
          <w:rtl w:val="true"/>
        </w:rPr>
        <w:t>ד</w:t>
      </w:r>
      <w:r>
        <w:rPr>
          <w:rFonts w:ascii="Calibri" w:hAnsi="Calibri" w:cs="Calibri"/>
          <w:b/>
          <w:b/>
          <w:bCs/>
          <w:rtl w:val="true"/>
        </w:rPr>
        <w:t xml:space="preserve"> </w:t>
      </w:r>
      <w:r>
        <w:rPr>
          <w:rFonts w:ascii="Calibri" w:hAnsi="Calibri" w:cs="Calibri"/>
          <w:b/>
          <w:b/>
          <w:bCs/>
          <w:rtl w:val="true"/>
        </w:rPr>
        <w:t>קנת</w:t>
      </w:r>
      <w:r>
        <w:rPr>
          <w:rFonts w:ascii="Calibri" w:hAnsi="Calibri" w:cs="Calibri"/>
          <w:b/>
          <w:b/>
          <w:bCs/>
          <w:rtl w:val="true"/>
        </w:rPr>
        <w:t xml:space="preserve"> </w:t>
      </w:r>
      <w:r>
        <w:rPr>
          <w:rFonts w:ascii="Calibri" w:hAnsi="Calibri" w:cs="Calibri"/>
          <w:b/>
          <w:b/>
          <w:bCs/>
          <w:rtl w:val="true"/>
        </w:rPr>
        <w:t>מן</w:t>
      </w:r>
    </w:p>
    <w:p>
      <w:pPr>
        <w:pStyle w:val="12"/>
        <w:spacing w:lineRule="auto" w:line="360"/>
        <w:ind w:end="0"/>
        <w:jc w:val="start"/>
        <w:rPr>
          <w:u w:val="none"/>
        </w:rPr>
      </w:pPr>
      <w:bookmarkStart w:id="7" w:name="_ETM_Q_4127527"/>
      <w:bookmarkEnd w:id="7"/>
      <w:r>
        <w:rPr>
          <w:rFonts w:ascii="Calibri" w:hAnsi="Calibri" w:cs="Calibri"/>
          <w:u w:val="none"/>
          <w:rtl w:val="true"/>
        </w:rPr>
        <w:t>ב</w:t>
      </w:r>
      <w:bookmarkStart w:id="8" w:name="_ETM_Q_4128216"/>
      <w:bookmarkEnd w:id="8"/>
      <w:r>
        <w:rPr>
          <w:rFonts w:cs="Calibri" w:ascii="Calibri" w:hAnsi="Calibri"/>
          <w:u w:val="none"/>
          <w:rtl w:val="true"/>
        </w:rPr>
        <w:t>"</w:t>
      </w:r>
      <w:r>
        <w:rPr>
          <w:rFonts w:ascii="Calibri" w:hAnsi="Calibri" w:cs="Calibri"/>
          <w:u w:val="none"/>
          <w:rtl w:val="true"/>
        </w:rPr>
        <w:t>כ</w:t>
      </w:r>
      <w:r>
        <w:rPr>
          <w:rFonts w:ascii="Calibri" w:hAnsi="Calibri" w:cs="Calibri"/>
          <w:u w:val="none"/>
          <w:rtl w:val="true"/>
        </w:rPr>
        <w:t xml:space="preserve"> </w:t>
      </w:r>
      <w:r>
        <w:rPr>
          <w:rFonts w:ascii="Calibri" w:hAnsi="Calibri" w:cs="Calibri"/>
          <w:u w:val="none"/>
          <w:rtl w:val="true"/>
        </w:rPr>
        <w:t>נאשם</w:t>
      </w:r>
      <w:r>
        <w:rPr>
          <w:rFonts w:ascii="Calibri" w:hAnsi="Calibri" w:cs="Calibri"/>
          <w:u w:val="none"/>
          <w:rtl w:val="true"/>
        </w:rPr>
        <w:t xml:space="preserve"> </w:t>
      </w:r>
      <w:r>
        <w:rPr>
          <w:rFonts w:cs="Calibri" w:ascii="Calibri" w:hAnsi="Calibri"/>
          <w:u w:val="none"/>
        </w:rPr>
        <w:t>2</w:t>
      </w:r>
      <w:r>
        <w:rPr>
          <w:rFonts w:cs="Calibri" w:ascii="Calibri" w:hAnsi="Calibri"/>
          <w:u w:val="none"/>
          <w:rtl w:val="true"/>
        </w:rPr>
        <w:t xml:space="preserve">  </w:t>
      </w:r>
      <w:r>
        <w:rPr>
          <w:rFonts w:ascii="Calibri" w:hAnsi="Calibri" w:cs="Calibri"/>
          <w:u w:val="none"/>
          <w:rtl w:val="true"/>
        </w:rPr>
        <w:t>עו</w:t>
      </w:r>
      <w:r>
        <w:rPr>
          <w:rFonts w:cs="Calibri" w:ascii="Calibri" w:hAnsi="Calibri"/>
          <w:u w:val="none"/>
          <w:rtl w:val="true"/>
        </w:rPr>
        <w:t>"</w:t>
      </w:r>
      <w:r>
        <w:rPr>
          <w:rFonts w:ascii="Calibri" w:hAnsi="Calibri" w:cs="Calibri"/>
          <w:u w:val="none"/>
          <w:rtl w:val="true"/>
        </w:rPr>
        <w:t>ד</w:t>
      </w:r>
      <w:r>
        <w:rPr>
          <w:rFonts w:ascii="Calibri" w:hAnsi="Calibri" w:cs="Calibri"/>
          <w:u w:val="none"/>
          <w:rtl w:val="true"/>
        </w:rPr>
        <w:t xml:space="preserve"> </w:t>
      </w:r>
      <w:r>
        <w:rPr>
          <w:rFonts w:ascii="Calibri" w:hAnsi="Calibri" w:cs="Calibri"/>
          <w:u w:val="none"/>
          <w:rtl w:val="true"/>
        </w:rPr>
        <w:t>דייגי</w:t>
      </w:r>
      <w:r>
        <w:rPr>
          <w:rFonts w:ascii="Calibri" w:hAnsi="Calibri" w:cs="Calibri"/>
          <w:u w:val="none"/>
          <w:rtl w:val="true"/>
        </w:rPr>
        <w:t xml:space="preserve"> </w:t>
      </w:r>
      <w:r>
        <w:rPr>
          <w:rFonts w:ascii="Calibri" w:hAnsi="Calibri" w:cs="Calibri"/>
          <w:u w:val="none"/>
          <w:rtl w:val="true"/>
        </w:rPr>
        <w:t>ועו</w:t>
      </w:r>
      <w:r>
        <w:rPr>
          <w:rFonts w:cs="Calibri" w:ascii="Calibri" w:hAnsi="Calibri"/>
          <w:u w:val="none"/>
          <w:rtl w:val="true"/>
        </w:rPr>
        <w:t>"</w:t>
      </w:r>
      <w:r>
        <w:rPr>
          <w:rFonts w:ascii="Calibri" w:hAnsi="Calibri" w:cs="Calibri"/>
          <w:u w:val="none"/>
          <w:rtl w:val="true"/>
        </w:rPr>
        <w:t>ד</w:t>
      </w:r>
      <w:r>
        <w:rPr>
          <w:rFonts w:ascii="Calibri" w:hAnsi="Calibri" w:cs="Calibri"/>
          <w:u w:val="none"/>
          <w:rtl w:val="true"/>
        </w:rPr>
        <w:t xml:space="preserve">  </w:t>
      </w:r>
      <w:r>
        <w:rPr>
          <w:rFonts w:ascii="Calibri" w:hAnsi="Calibri" w:cs="Calibri"/>
          <w:u w:val="none"/>
          <w:rtl w:val="true"/>
        </w:rPr>
        <w:t>עו</w:t>
      </w:r>
      <w:r>
        <w:rPr>
          <w:rFonts w:cs="Calibri" w:ascii="Calibri" w:hAnsi="Calibri"/>
          <w:u w:val="none"/>
          <w:rtl w:val="true"/>
        </w:rPr>
        <w:t>"</w:t>
      </w:r>
      <w:r>
        <w:rPr>
          <w:rFonts w:ascii="Calibri" w:hAnsi="Calibri" w:cs="Calibri"/>
          <w:u w:val="none"/>
          <w:rtl w:val="true"/>
        </w:rPr>
        <w:t>ד</w:t>
      </w:r>
      <w:r>
        <w:rPr>
          <w:rFonts w:ascii="Calibri" w:hAnsi="Calibri" w:cs="Calibri"/>
          <w:u w:val="none"/>
          <w:rtl w:val="true"/>
        </w:rPr>
        <w:t xml:space="preserve"> </w:t>
      </w:r>
      <w:r>
        <w:rPr>
          <w:rFonts w:ascii="Calibri" w:hAnsi="Calibri" w:cs="Calibri"/>
          <w:u w:val="none"/>
          <w:rtl w:val="true"/>
        </w:rPr>
        <w:t>ליל</w:t>
      </w:r>
      <w:r>
        <w:rPr>
          <w:rFonts w:ascii="Calibri" w:hAnsi="Calibri" w:cs="Calibri"/>
          <w:u w:val="none"/>
          <w:rtl w:val="true"/>
        </w:rPr>
        <w:t xml:space="preserve"> </w:t>
      </w:r>
      <w:r>
        <w:rPr>
          <w:rFonts w:ascii="Calibri" w:hAnsi="Calibri" w:cs="Calibri"/>
          <w:u w:val="none"/>
          <w:rtl w:val="true"/>
        </w:rPr>
        <w:t>פטישי</w:t>
      </w:r>
    </w:p>
    <w:p>
      <w:pPr>
        <w:pStyle w:val="12"/>
        <w:spacing w:lineRule="auto" w:line="360"/>
        <w:ind w:end="0"/>
        <w:jc w:val="start"/>
        <w:rPr>
          <w:u w:val="none"/>
        </w:rPr>
      </w:pPr>
      <w:r>
        <w:rPr>
          <w:u w:val="none"/>
          <w:rtl w:val="true"/>
        </w:rPr>
        <w:t xml:space="preserve">מתורגמן לשפה הערבית – רגילאת נסאר </w:t>
      </w:r>
    </w:p>
    <w:p>
      <w:pPr>
        <w:pStyle w:val="12"/>
        <w:spacing w:lineRule="auto" w:line="360"/>
        <w:ind w:end="0"/>
        <w:jc w:val="start"/>
        <w:rPr>
          <w:u w:val="none"/>
        </w:rPr>
      </w:pPr>
      <w:r>
        <w:rPr>
          <w:u w:val="none"/>
          <w:rtl w:val="true"/>
        </w:rPr>
        <w:t>מתורגמנית לשפה הצרפתית – מרי הלן פונס</w:t>
      </w:r>
    </w:p>
    <w:p>
      <w:pPr>
        <w:pStyle w:val="Normal"/>
        <w:spacing w:lineRule="auto" w:line="360"/>
        <w:ind w:end="0"/>
        <w:jc w:val="both"/>
        <w:rPr>
          <w:u w:val="none"/>
        </w:rPr>
      </w:pPr>
      <w:r>
        <w:rPr>
          <w:u w:val="none"/>
          <w:rtl w:val="true"/>
        </w:rPr>
      </w:r>
    </w:p>
    <w:p>
      <w:pPr>
        <w:pStyle w:val="Normal"/>
        <w:spacing w:lineRule="exact" w:line="240" w:before="0" w:after="120"/>
        <w:ind w:hanging="283" w:start="283" w:end="426"/>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426"/>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415</w:t>
        </w:r>
      </w:hyperlink>
      <w:r>
        <w:rPr>
          <w:rFonts w:cs="FrankRuehl" w:ascii="FrankRuehl" w:hAnsi="FrankRuehl"/>
          <w:rtl w:val="true"/>
        </w:rPr>
        <w:t xml:space="preserve">, </w:t>
      </w:r>
      <w:hyperlink r:id="rId6">
        <w:r>
          <w:rPr>
            <w:rStyle w:val="Hyperlink"/>
            <w:rFonts w:ascii="FrankRuehl" w:hAnsi="FrankRuehl" w:cs="FrankRuehl"/>
            <w:color w:val="0000FF"/>
            <w:u w:val="single"/>
            <w:rtl w:val="true"/>
          </w:rPr>
          <w:t>פרק יא</w:t>
        </w:r>
        <w:r>
          <w:rPr>
            <w:rStyle w:val="Hyperlink"/>
            <w:rFonts w:cs="FrankRuehl" w:ascii="FrankRuehl" w:hAnsi="FrankRuehl"/>
            <w:color w:val="0000FF"/>
            <w:u w:val="single"/>
            <w:rtl w:val="true"/>
          </w:rPr>
          <w:t>'</w:t>
        </w:r>
      </w:hyperlink>
    </w:p>
    <w:p>
      <w:pPr>
        <w:pStyle w:val="Normal"/>
        <w:spacing w:lineRule="exact" w:line="240" w:before="0" w:after="120"/>
        <w:ind w:hanging="283" w:start="283" w:end="426"/>
        <w:jc w:val="both"/>
        <w:rPr>
          <w:rFonts w:ascii="FrankRuehl" w:hAnsi="FrankRuehl" w:cs="FrankRuehl"/>
        </w:rPr>
      </w:pPr>
      <w:r>
        <w:rPr>
          <w:rFonts w:cs="FrankRuehl" w:ascii="FrankRuehl" w:hAnsi="FrankRuehl"/>
          <w:rtl w:val="true"/>
        </w:rPr>
      </w:r>
    </w:p>
    <w:p>
      <w:pPr>
        <w:pStyle w:val="Normal"/>
        <w:spacing w:lineRule="auto" w:line="360"/>
        <w:ind w:end="0"/>
        <w:jc w:val="both"/>
        <w:rPr>
          <w:rFonts w:ascii="FrankRuehl" w:hAnsi="FrankRuehl" w:cs="FrankRuehl"/>
        </w:rPr>
      </w:pPr>
      <w:r>
        <w:rPr>
          <w:rFonts w:cs="FrankRuehl" w:ascii="FrankRuehl" w:hAnsi="FrankRuehl"/>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Normal"/>
        <w:spacing w:lineRule="auto" w:line="360"/>
        <w:ind w:end="0"/>
        <w:jc w:val="both"/>
        <w:rPr>
          <w:rFonts w:ascii="Arial" w:hAnsi="Arial" w:cs="Arial"/>
          <w:sz w:val="6"/>
          <w:szCs w:val="6"/>
        </w:rPr>
      </w:pPr>
      <w:r>
        <w:rPr>
          <w:rFonts w:cs="Arial" w:ascii="Arial" w:hAnsi="Arial"/>
          <w:sz w:val="6"/>
          <w:szCs w:val="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pacing w:lineRule="auto" w:line="360"/>
              <w:ind w:end="0"/>
              <w:jc w:val="center"/>
              <w:rPr>
                <w:rFonts w:ascii="Arial" w:hAnsi="Arial"/>
                <w:b/>
                <w:bCs/>
                <w:sz w:val="28"/>
                <w:szCs w:val="28"/>
              </w:rPr>
            </w:pPr>
            <w:bookmarkStart w:id="9" w:name="PsakDin"/>
            <w:r>
              <w:rPr>
                <w:rFonts w:ascii="Arial" w:hAnsi="Arial" w:cs="Times New Roman"/>
                <w:b/>
                <w:b/>
                <w:bCs/>
                <w:sz w:val="28"/>
                <w:sz w:val="28"/>
                <w:szCs w:val="28"/>
                <w:rtl w:val="true"/>
              </w:rPr>
              <w:t>גזר</w:t>
            </w:r>
            <w:r>
              <w:rPr>
                <w:rFonts w:ascii="Arial" w:hAnsi="Arial" w:eastAsia="Arial" w:cs="Arial"/>
                <w:b/>
                <w:b/>
                <w:bCs/>
                <w:sz w:val="28"/>
                <w:sz w:val="28"/>
                <w:szCs w:val="28"/>
                <w:rtl w:val="true"/>
              </w:rPr>
              <w:t xml:space="preserve"> </w:t>
            </w:r>
            <w:r>
              <w:rPr>
                <w:rFonts w:ascii="Arial" w:hAnsi="Arial" w:cs="Times New Roman"/>
                <w:b/>
                <w:b/>
                <w:bCs/>
                <w:sz w:val="28"/>
                <w:sz w:val="28"/>
                <w:szCs w:val="28"/>
                <w:rtl w:val="true"/>
              </w:rPr>
              <w:t>דין</w:t>
            </w:r>
            <w:r>
              <w:rPr>
                <w:rFonts w:ascii="Arial" w:hAnsi="Arial" w:eastAsia="Arial" w:cs="Arial"/>
                <w:b/>
                <w:b/>
                <w:bCs/>
                <w:sz w:val="28"/>
                <w:sz w:val="28"/>
                <w:szCs w:val="28"/>
                <w:rtl w:val="true"/>
              </w:rPr>
              <w:t xml:space="preserve"> </w:t>
            </w:r>
            <w:bookmarkEnd w:id="9"/>
            <w:r>
              <w:rPr>
                <w:rFonts w:ascii="Arial" w:hAnsi="Arial" w:cs="Times New Roman"/>
                <w:b/>
                <w:b/>
                <w:bCs/>
                <w:sz w:val="28"/>
                <w:sz w:val="28"/>
                <w:szCs w:val="28"/>
                <w:rtl w:val="true"/>
              </w:rPr>
              <w:t>לנאשם</w:t>
            </w:r>
            <w:r>
              <w:rPr>
                <w:rFonts w:ascii="Arial" w:hAnsi="Arial" w:eastAsia="Arial" w:cs="Arial"/>
                <w:b/>
                <w:b/>
                <w:bCs/>
                <w:sz w:val="28"/>
                <w:sz w:val="28"/>
                <w:szCs w:val="28"/>
                <w:rtl w:val="true"/>
              </w:rPr>
              <w:t xml:space="preserve"> </w:t>
            </w:r>
            <w:r>
              <w:rPr>
                <w:rFonts w:cs="Times New Roman" w:ascii="Arial" w:hAnsi="Arial"/>
                <w:b/>
                <w:bCs/>
                <w:sz w:val="28"/>
                <w:szCs w:val="28"/>
              </w:rPr>
              <w:t>1</w:t>
            </w:r>
          </w:p>
        </w:tc>
      </w:tr>
    </w:tbl>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bookmarkStart w:id="10" w:name="ABSTRACT_START"/>
      <w:bookmarkEnd w:id="10"/>
      <w:r>
        <w:rPr>
          <w:rtl w:val="true"/>
        </w:rPr>
        <w:t xml:space="preserve">הנאשם </w:t>
      </w:r>
      <w:r>
        <w:rPr/>
        <w:t>1</w:t>
      </w:r>
      <w:r>
        <w:rPr>
          <w:rtl w:val="true"/>
        </w:rPr>
        <w:t xml:space="preserve"> </w:t>
      </w:r>
      <w:r>
        <w:rPr>
          <w:rtl w:val="true"/>
        </w:rPr>
        <w:t>הורשע על סמך הודאתו</w:t>
      </w:r>
      <w:r>
        <w:rPr>
          <w:rtl w:val="true"/>
        </w:rPr>
        <w:t xml:space="preserve">, </w:t>
      </w:r>
      <w:r>
        <w:rPr>
          <w:rtl w:val="true"/>
        </w:rPr>
        <w:t>במסגרת הסדר</w:t>
      </w:r>
      <w:r>
        <w:rPr>
          <w:rtl w:val="true"/>
        </w:rPr>
        <w:t xml:space="preserve">, </w:t>
      </w:r>
      <w:r>
        <w:rPr>
          <w:rtl w:val="true"/>
        </w:rPr>
        <w:t xml:space="preserve">בשלוש עבירות של יבוא נשק בהתאם להוראת </w:t>
      </w:r>
      <w:hyperlink r:id="rId7">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8">
        <w:r>
          <w:rPr>
            <w:rStyle w:val="Hyperlink"/>
            <w:color w:val="0000FF"/>
            <w:u w:val="single"/>
            <w:rtl w:val="true"/>
          </w:rPr>
          <w:t>חוק העונשין</w:t>
        </w:r>
      </w:hyperlink>
      <w:r>
        <w:rPr>
          <w:rtl w:val="true"/>
        </w:rPr>
        <w:t xml:space="preserve"> התשל</w:t>
      </w:r>
      <w:r>
        <w:rPr>
          <w:rtl w:val="true"/>
        </w:rPr>
        <w:t>"</w:t>
      </w:r>
      <w:r>
        <w:rPr>
          <w:rtl w:val="true"/>
        </w:rPr>
        <w:t xml:space="preserve">ז – </w:t>
      </w:r>
      <w:r>
        <w:rPr/>
        <w:t>1977</w:t>
      </w:r>
      <w:r>
        <w:rPr>
          <w:rtl w:val="true"/>
        </w:rPr>
        <w:t xml:space="preserve"> (</w:t>
      </w:r>
      <w:r>
        <w:rPr>
          <w:rtl w:val="true"/>
        </w:rPr>
        <w:t>להלן</w:t>
      </w:r>
      <w:r>
        <w:rPr>
          <w:rtl w:val="true"/>
        </w:rPr>
        <w:t>: "</w:t>
      </w:r>
      <w:r>
        <w:rPr>
          <w:b/>
          <w:b/>
          <w:bCs/>
          <w:rtl w:val="true"/>
        </w:rPr>
        <w:t>החוק</w:t>
      </w:r>
      <w:r>
        <w:rPr>
          <w:rtl w:val="true"/>
        </w:rPr>
        <w:t xml:space="preserve">"), </w:t>
      </w:r>
      <w:r>
        <w:rPr>
          <w:rtl w:val="true"/>
        </w:rPr>
        <w:t xml:space="preserve">שלוש עבירות של הובלה ונשיאת נשק בהתאם להוראת </w:t>
      </w:r>
      <w:hyperlink r:id="rId9">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רישא לחוק</w:t>
      </w:r>
      <w:r>
        <w:rPr>
          <w:rtl w:val="true"/>
        </w:rPr>
        <w:t xml:space="preserve">, </w:t>
      </w:r>
      <w:r>
        <w:rPr>
          <w:rtl w:val="true"/>
        </w:rPr>
        <w:t xml:space="preserve">ושלוש עבירות של קבלת דבר במרמה בנסיבות מחמירות בהתאם להוראת סעיף סעיף </w:t>
      </w:r>
      <w:hyperlink r:id="rId10">
        <w:r>
          <w:rPr>
            <w:rStyle w:val="Hyperlink"/>
            <w:color w:val="0000FF"/>
            <w:u w:val="single"/>
          </w:rPr>
          <w:t>415</w:t>
        </w:r>
      </w:hyperlink>
      <w:r>
        <w:rPr>
          <w:rtl w:val="true"/>
        </w:rPr>
        <w:t xml:space="preserve"> </w:t>
      </w:r>
      <w:r>
        <w:rPr>
          <w:rtl w:val="true"/>
        </w:rPr>
        <w:t>סיפא לחוק</w:t>
      </w:r>
      <w:r>
        <w:rPr>
          <w:rtl w:val="true"/>
        </w:rPr>
        <w:t xml:space="preserve">. </w:t>
      </w:r>
    </w:p>
    <w:p>
      <w:pPr>
        <w:pStyle w:val="Normal"/>
        <w:spacing w:lineRule="auto" w:line="360"/>
        <w:ind w:end="0"/>
        <w:jc w:val="both"/>
        <w:rPr/>
      </w:pPr>
      <w:r>
        <w:rPr>
          <w:rtl w:val="true"/>
        </w:rPr>
      </w:r>
      <w:bookmarkStart w:id="11" w:name="ABSTRACT_END"/>
      <w:bookmarkStart w:id="12" w:name="ABSTRACT_END"/>
      <w:bookmarkEnd w:id="12"/>
    </w:p>
    <w:p>
      <w:pPr>
        <w:pStyle w:val="Normal"/>
        <w:spacing w:lineRule="auto" w:line="360"/>
        <w:ind w:end="0"/>
        <w:jc w:val="both"/>
        <w:rPr/>
      </w:pPr>
      <w:r>
        <w:rPr>
          <w:rtl w:val="true"/>
        </w:rPr>
        <w:t>להלן עובדות כתב האישום בהן הודה הנאשם</w:t>
      </w:r>
      <w:r>
        <w:rPr>
          <w:rtl w:val="true"/>
        </w:rPr>
        <w:t xml:space="preserve">, </w:t>
      </w:r>
      <w:r>
        <w:rPr>
          <w:rtl w:val="true"/>
        </w:rPr>
        <w:t>ועל בסיסן הורשע</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על פי המתואר </w:t>
      </w:r>
      <w:r>
        <w:rPr>
          <w:b/>
          <w:b/>
          <w:bCs/>
          <w:rtl w:val="true"/>
        </w:rPr>
        <w:t>בחלק הכללי</w:t>
      </w:r>
      <w:r>
        <w:rPr>
          <w:rtl w:val="true"/>
        </w:rPr>
        <w:t xml:space="preserve"> לכתב האישום</w:t>
      </w:r>
      <w:r>
        <w:rPr>
          <w:rtl w:val="true"/>
        </w:rPr>
        <w:t xml:space="preserve">, </w:t>
      </w:r>
      <w:r>
        <w:rPr>
          <w:rtl w:val="true"/>
        </w:rPr>
        <w:t>בתאריכים הרלוונטיים לכתב האישום</w:t>
      </w:r>
      <w:r>
        <w:rPr>
          <w:rtl w:val="true"/>
        </w:rPr>
        <w:t xml:space="preserve">, </w:t>
      </w:r>
      <w:r>
        <w:rPr>
          <w:rtl w:val="true"/>
        </w:rPr>
        <w:t xml:space="preserve">הנאשם </w:t>
      </w:r>
      <w:r>
        <w:rPr/>
        <w:t>1</w:t>
      </w:r>
      <w:r>
        <w:rPr>
          <w:rtl w:val="true"/>
        </w:rPr>
        <w:t xml:space="preserve"> </w:t>
      </w:r>
      <w:r>
        <w:rPr>
          <w:rtl w:val="true"/>
        </w:rPr>
        <w:t xml:space="preserve">עבד כנהג בקונסוליה הכללית של צרפת בירושלים </w:t>
      </w:r>
      <w:r>
        <w:rPr>
          <w:rtl w:val="true"/>
        </w:rPr>
        <w:t>(</w:t>
      </w:r>
      <w:r>
        <w:rPr>
          <w:rtl w:val="true"/>
        </w:rPr>
        <w:t>להלן</w:t>
      </w:r>
      <w:r>
        <w:rPr>
          <w:rtl w:val="true"/>
        </w:rPr>
        <w:t>: ""</w:t>
      </w:r>
      <w:r>
        <w:rPr>
          <w:b/>
          <w:b/>
          <w:bCs/>
          <w:rtl w:val="true"/>
        </w:rPr>
        <w:t>הקונסוליה</w:t>
      </w:r>
      <w:r>
        <w:rPr>
          <w:rtl w:val="true"/>
        </w:rPr>
        <w:t xml:space="preserve">"). </w:t>
      </w:r>
      <w:r>
        <w:rPr>
          <w:rtl w:val="true"/>
        </w:rPr>
        <w:t>במועדים אלה</w:t>
      </w:r>
      <w:r>
        <w:rPr>
          <w:rtl w:val="true"/>
        </w:rPr>
        <w:t xml:space="preserve">, </w:t>
      </w:r>
      <w:r>
        <w:rPr>
          <w:rtl w:val="true"/>
        </w:rPr>
        <w:t xml:space="preserve">היה הנאשם </w:t>
      </w:r>
      <w:r>
        <w:rPr/>
        <w:t>1</w:t>
      </w:r>
      <w:r>
        <w:rPr>
          <w:rtl w:val="true"/>
        </w:rPr>
        <w:t xml:space="preserve"> </w:t>
      </w:r>
      <w:r>
        <w:rPr>
          <w:rtl w:val="true"/>
        </w:rPr>
        <w:t xml:space="preserve">מואמן במשרד החוץ במעמד של </w:t>
      </w:r>
      <w:r>
        <w:rPr>
          <w:rtl w:val="true"/>
        </w:rPr>
        <w:t>"</w:t>
      </w:r>
      <w:r>
        <w:rPr>
          <w:rtl w:val="true"/>
        </w:rPr>
        <w:t>עובד קונסולרי</w:t>
      </w:r>
      <w:r>
        <w:rPr>
          <w:rtl w:val="true"/>
        </w:rPr>
        <w:t>" (</w:t>
      </w:r>
      <w:r>
        <w:rPr>
          <w:rtl w:val="true"/>
        </w:rPr>
        <w:t>"</w:t>
      </w:r>
      <w:r>
        <w:rPr/>
        <w:t>consular employee</w:t>
      </w:r>
      <w:r>
        <w:rPr>
          <w:rtl w:val="true"/>
        </w:rPr>
        <w:t>"</w:t>
      </w:r>
      <w:r>
        <w:rPr>
          <w:rtl w:val="true"/>
        </w:rPr>
        <w:t xml:space="preserve">) </w:t>
      </w:r>
      <w:r>
        <w:rPr>
          <w:rtl w:val="true"/>
        </w:rPr>
        <w:t>בקונסוליה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במסגרת תפקידו בקונסוליה</w:t>
      </w:r>
      <w:r>
        <w:rPr>
          <w:rtl w:val="true"/>
        </w:rPr>
        <w:t xml:space="preserve">, </w:t>
      </w:r>
      <w:r>
        <w:rPr>
          <w:rtl w:val="true"/>
        </w:rPr>
        <w:t xml:space="preserve">הנאשם </w:t>
      </w:r>
      <w:r>
        <w:rPr/>
        <w:t>1</w:t>
      </w:r>
      <w:r>
        <w:rPr>
          <w:rtl w:val="true"/>
        </w:rPr>
        <w:t xml:space="preserve"> </w:t>
      </w:r>
      <w:r>
        <w:rPr>
          <w:rtl w:val="true"/>
        </w:rPr>
        <w:t xml:space="preserve">נהג ברכב מסוג טויוטה פרדו בעל לוחית רישוי קונסולרית </w:t>
      </w:r>
      <w:r>
        <w:rPr>
          <w:rtl w:val="true"/>
        </w:rPr>
        <w:t>(</w:t>
      </w:r>
      <w:r>
        <w:rPr>
          <w:rtl w:val="true"/>
        </w:rPr>
        <w:t>להלן</w:t>
      </w:r>
      <w:r>
        <w:rPr>
          <w:rtl w:val="true"/>
        </w:rPr>
        <w:t>: "</w:t>
      </w:r>
      <w:r>
        <w:rPr>
          <w:b/>
          <w:b/>
          <w:bCs/>
          <w:rtl w:val="true"/>
        </w:rPr>
        <w:t>הרכב הקונסולרי</w:t>
      </w:r>
      <w:r>
        <w:rPr>
          <w:rtl w:val="true"/>
        </w:rPr>
        <w:t xml:space="preserve">") </w:t>
      </w:r>
      <w:r>
        <w:rPr>
          <w:rtl w:val="true"/>
        </w:rPr>
        <w:t xml:space="preserve">והסיע בו את נציגי הקונסוליה מישראל לעזה ובחזרה דרך מעבר ארז </w:t>
      </w:r>
      <w:r>
        <w:rPr>
          <w:rtl w:val="true"/>
        </w:rPr>
        <w:t>(</w:t>
      </w:r>
      <w:r>
        <w:rPr>
          <w:rtl w:val="true"/>
        </w:rPr>
        <w:t>להלן</w:t>
      </w:r>
      <w:r>
        <w:rPr>
          <w:rtl w:val="true"/>
        </w:rPr>
        <w:t>: "</w:t>
      </w:r>
      <w:r>
        <w:rPr>
          <w:b/>
          <w:b/>
          <w:bCs/>
          <w:rtl w:val="true"/>
        </w:rPr>
        <w:t>מעבר ארז</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במועדים הרלוונטיים לכתב האישום</w:t>
      </w:r>
      <w:r>
        <w:rPr>
          <w:rtl w:val="true"/>
        </w:rPr>
        <w:t xml:space="preserve">, </w:t>
      </w:r>
      <w:r>
        <w:rPr>
          <w:rtl w:val="true"/>
        </w:rPr>
        <w:t xml:space="preserve">היה ברשותו של הנאשם </w:t>
      </w:r>
      <w:r>
        <w:rPr/>
        <w:t>1</w:t>
      </w:r>
      <w:r>
        <w:rPr>
          <w:rtl w:val="true"/>
        </w:rPr>
        <w:t xml:space="preserve"> </w:t>
      </w:r>
      <w:r>
        <w:rPr>
          <w:rtl w:val="true"/>
        </w:rPr>
        <w:t>רכב מסוג סיטרואן</w:t>
      </w:r>
      <w:r>
        <w:rPr>
          <w:rtl w:val="true"/>
        </w:rPr>
        <w:t xml:space="preserve">, </w:t>
      </w:r>
      <w:r>
        <w:rPr>
          <w:rtl w:val="true"/>
        </w:rPr>
        <w:t xml:space="preserve">בעל לוחית רישוי קונסולרית </w:t>
      </w:r>
      <w:r>
        <w:rPr>
          <w:rtl w:val="true"/>
        </w:rPr>
        <w:t>(</w:t>
      </w:r>
      <w:r>
        <w:rPr>
          <w:rtl w:val="true"/>
        </w:rPr>
        <w:t>להלן</w:t>
      </w:r>
      <w:r>
        <w:rPr>
          <w:rtl w:val="true"/>
        </w:rPr>
        <w:t>: "</w:t>
      </w:r>
      <w:r>
        <w:rPr>
          <w:b/>
          <w:b/>
          <w:bCs/>
          <w:rtl w:val="true"/>
        </w:rPr>
        <w:t>רכב הסיטרואן</w:t>
      </w:r>
      <w:r>
        <w:rPr>
          <w:rtl w:val="true"/>
        </w:rPr>
        <w:t xml:space="preserve">"), </w:t>
      </w:r>
      <w:r>
        <w:rPr>
          <w:rtl w:val="true"/>
        </w:rPr>
        <w:t>בו השתמש לצרכיו האישיים</w:t>
      </w:r>
      <w:r>
        <w:rPr>
          <w:rtl w:val="true"/>
        </w:rPr>
        <w:t xml:space="preserve">, </w:t>
      </w:r>
      <w:r>
        <w:rPr>
          <w:rtl w:val="true"/>
        </w:rPr>
        <w:t>ונהג לנסוע בו מירושלים לרמאללה</w:t>
      </w:r>
      <w:r>
        <w:rPr>
          <w:rtl w:val="true"/>
        </w:rPr>
        <w:t xml:space="preserve">, </w:t>
      </w:r>
      <w:r>
        <w:rPr>
          <w:rtl w:val="true"/>
        </w:rPr>
        <w:t>דרך מחסום אל ג</w:t>
      </w:r>
      <w:r>
        <w:rPr>
          <w:rtl w:val="true"/>
        </w:rPr>
        <w:t>'</w:t>
      </w:r>
      <w:r>
        <w:rPr>
          <w:rtl w:val="true"/>
        </w:rPr>
        <w:t xml:space="preserve">יב או מחסום קלנדיה </w:t>
      </w:r>
      <w:r>
        <w:rPr>
          <w:rtl w:val="true"/>
        </w:rPr>
        <w:t>(</w:t>
      </w:r>
      <w:r>
        <w:rPr>
          <w:rtl w:val="true"/>
        </w:rPr>
        <w:t>להלן</w:t>
      </w:r>
      <w:r>
        <w:rPr>
          <w:rtl w:val="true"/>
        </w:rPr>
        <w:t>: "</w:t>
      </w:r>
      <w:r>
        <w:rPr>
          <w:b/>
          <w:b/>
          <w:bCs/>
          <w:rtl w:val="true"/>
        </w:rPr>
        <w:t>המחסום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לפי נהלי בדיקות במעברי גבול</w:t>
      </w:r>
      <w:r>
        <w:rPr>
          <w:rtl w:val="true"/>
        </w:rPr>
        <w:t xml:space="preserve">, </w:t>
      </w:r>
      <w:r>
        <w:rPr>
          <w:rtl w:val="true"/>
        </w:rPr>
        <w:t>רכב בעל לוחית רישוי דיפלומטית או קונסולרית</w:t>
      </w:r>
      <w:r>
        <w:rPr>
          <w:rtl w:val="true"/>
        </w:rPr>
        <w:t xml:space="preserve">, </w:t>
      </w:r>
      <w:r>
        <w:rPr>
          <w:rtl w:val="true"/>
        </w:rPr>
        <w:t>נהנה מהקלות משמעותיות בבדיקה הפיזית בתוך הרכב</w:t>
      </w:r>
      <w:r>
        <w:rPr>
          <w:rtl w:val="true"/>
        </w:rPr>
        <w:t xml:space="preserve">. </w:t>
      </w:r>
      <w:r>
        <w:rPr>
          <w:rtl w:val="true"/>
        </w:rPr>
        <w:t xml:space="preserve">הנאשם </w:t>
      </w:r>
      <w:r>
        <w:rPr/>
        <w:t>1</w:t>
      </w:r>
      <w:r>
        <w:rPr>
          <w:rtl w:val="true"/>
        </w:rPr>
        <w:t xml:space="preserve"> </w:t>
      </w:r>
      <w:r>
        <w:rPr>
          <w:rtl w:val="true"/>
        </w:rPr>
        <w:t>ידע כי הרכב הקונסולרי ורכב הסיטרואן ייהנו מאותן הקלות במעבר ארז ובמחסום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לפני המועדים הרלוונטיים לכתב האישום</w:t>
      </w:r>
      <w:r>
        <w:rPr>
          <w:rtl w:val="true"/>
        </w:rPr>
        <w:t xml:space="preserve">, </w:t>
      </w:r>
      <w:r>
        <w:rPr>
          <w:rtl w:val="true"/>
        </w:rPr>
        <w:t xml:space="preserve">בין הנאשם </w:t>
      </w:r>
      <w:r>
        <w:rPr/>
        <w:t>1</w:t>
      </w:r>
      <w:r>
        <w:rPr>
          <w:rtl w:val="true"/>
        </w:rPr>
        <w:t xml:space="preserve"> </w:t>
      </w:r>
      <w:r>
        <w:rPr>
          <w:rtl w:val="true"/>
        </w:rPr>
        <w:t>לזוהיר</w:t>
      </w:r>
      <w:r>
        <w:rPr>
          <w:rtl w:val="true"/>
        </w:rPr>
        <w:t xml:space="preserve">, </w:t>
      </w:r>
      <w:r>
        <w:rPr>
          <w:rtl w:val="true"/>
        </w:rPr>
        <w:t>עובד במרכז התרבות הצרפתי בעזה</w:t>
      </w:r>
      <w:r>
        <w:rPr>
          <w:rtl w:val="true"/>
        </w:rPr>
        <w:t xml:space="preserve">, </w:t>
      </w:r>
      <w:r>
        <w:rPr>
          <w:rtl w:val="true"/>
        </w:rPr>
        <w:t xml:space="preserve">נוצרה הכרות על רקע עבודתו של הנאשם </w:t>
      </w:r>
      <w:r>
        <w:rPr/>
        <w:t>1</w:t>
      </w:r>
      <w:r>
        <w:rPr>
          <w:rtl w:val="true"/>
        </w:rPr>
        <w:t xml:space="preserve"> </w:t>
      </w:r>
      <w:r>
        <w:rPr>
          <w:rtl w:val="true"/>
        </w:rPr>
        <w:t>ונסיעתו לעזה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במועד שאינו ידוע במדויק למאשימה</w:t>
      </w:r>
      <w:r>
        <w:rPr>
          <w:rtl w:val="true"/>
        </w:rPr>
        <w:t xml:space="preserve">, </w:t>
      </w:r>
      <w:r>
        <w:rPr>
          <w:rtl w:val="true"/>
        </w:rPr>
        <w:t xml:space="preserve">סמוך לנובמבר </w:t>
      </w:r>
      <w:r>
        <w:rPr/>
        <w:t>2017</w:t>
      </w:r>
      <w:r>
        <w:rPr>
          <w:rtl w:val="true"/>
        </w:rPr>
        <w:t xml:space="preserve">, </w:t>
      </w:r>
      <w:r>
        <w:rPr>
          <w:rtl w:val="true"/>
        </w:rPr>
        <w:t xml:space="preserve">זוהיר הציע לנאשם </w:t>
      </w:r>
      <w:r>
        <w:rPr/>
        <w:t>1</w:t>
      </w:r>
      <w:r>
        <w:rPr>
          <w:rtl w:val="true"/>
        </w:rPr>
        <w:t xml:space="preserve"> </w:t>
      </w:r>
      <w:r>
        <w:rPr>
          <w:rtl w:val="true"/>
        </w:rPr>
        <w:t>להעביר נשק דרך מעבר ארז</w:t>
      </w:r>
      <w:r>
        <w:rPr>
          <w:rtl w:val="true"/>
        </w:rPr>
        <w:t xml:space="preserve">, </w:t>
      </w:r>
      <w:r>
        <w:rPr>
          <w:rtl w:val="true"/>
        </w:rPr>
        <w:t>מעזה לגדה המערבית דרך ישראל</w:t>
      </w:r>
      <w:r>
        <w:rPr>
          <w:rtl w:val="true"/>
        </w:rPr>
        <w:t xml:space="preserve">, </w:t>
      </w:r>
      <w:r>
        <w:rPr>
          <w:rtl w:val="true"/>
        </w:rPr>
        <w:t>באמצעות הרכב הקונסולרי</w:t>
      </w:r>
      <w:r>
        <w:rPr>
          <w:rtl w:val="true"/>
        </w:rPr>
        <w:t xml:space="preserve">, </w:t>
      </w:r>
      <w:r>
        <w:rPr>
          <w:rtl w:val="true"/>
        </w:rPr>
        <w:t>בתמורה לתשלום</w:t>
      </w:r>
      <w:r>
        <w:rPr>
          <w:rtl w:val="true"/>
        </w:rPr>
        <w:t xml:space="preserve">. </w:t>
      </w:r>
      <w:r>
        <w:rPr>
          <w:rtl w:val="true"/>
        </w:rPr>
        <w:t xml:space="preserve">הנאשם </w:t>
      </w:r>
      <w:r>
        <w:rPr/>
        <w:t>1</w:t>
      </w:r>
      <w:r>
        <w:rPr>
          <w:rtl w:val="true"/>
        </w:rPr>
        <w:t xml:space="preserve"> </w:t>
      </w:r>
      <w:r>
        <w:rPr>
          <w:rtl w:val="true"/>
        </w:rPr>
        <w:t>הסכים לכך</w:t>
      </w:r>
      <w:r>
        <w:rPr>
          <w:rtl w:val="true"/>
        </w:rPr>
        <w:t xml:space="preserve">. </w:t>
      </w:r>
      <w:r>
        <w:rPr>
          <w:rtl w:val="true"/>
        </w:rPr>
        <w:t xml:space="preserve">בתמורה להעברת נשקים המתוארים באישומים </w:t>
      </w:r>
      <w:r>
        <w:rPr/>
        <w:t>1</w:t>
      </w:r>
      <w:r>
        <w:rPr>
          <w:rtl w:val="true"/>
        </w:rPr>
        <w:t xml:space="preserve">, </w:t>
      </w:r>
      <w:r>
        <w:rPr/>
        <w:t>2</w:t>
      </w:r>
      <w:r>
        <w:rPr>
          <w:rtl w:val="true"/>
        </w:rPr>
        <w:t xml:space="preserve"> </w:t>
      </w:r>
      <w:r>
        <w:rPr>
          <w:rtl w:val="true"/>
        </w:rPr>
        <w:t>ו</w:t>
      </w:r>
      <w:r>
        <w:rPr>
          <w:rtl w:val="true"/>
        </w:rPr>
        <w:t xml:space="preserve">- </w:t>
      </w:r>
      <w:r>
        <w:rPr/>
        <w:t>3</w:t>
      </w:r>
      <w:r>
        <w:rPr>
          <w:rtl w:val="true"/>
        </w:rPr>
        <w:t xml:space="preserve"> </w:t>
      </w:r>
      <w:r>
        <w:rPr>
          <w:rtl w:val="true"/>
        </w:rPr>
        <w:t>לכתב האישום</w:t>
      </w:r>
      <w:r>
        <w:rPr>
          <w:rtl w:val="true"/>
        </w:rPr>
        <w:t xml:space="preserve">, </w:t>
      </w:r>
      <w:r>
        <w:rPr>
          <w:rtl w:val="true"/>
        </w:rPr>
        <w:t xml:space="preserve">קיבל הנאשם </w:t>
      </w:r>
      <w:r>
        <w:rPr/>
        <w:t>26,000</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בתאריך שאינו ידוע במדויק למאשימה</w:t>
      </w:r>
      <w:r>
        <w:rPr>
          <w:rtl w:val="true"/>
        </w:rPr>
        <w:t xml:space="preserve">, </w:t>
      </w:r>
      <w:r>
        <w:rPr>
          <w:rtl w:val="true"/>
        </w:rPr>
        <w:t xml:space="preserve">הציע הנאשם </w:t>
      </w:r>
      <w:r>
        <w:rPr/>
        <w:t>1</w:t>
      </w:r>
      <w:r>
        <w:rPr>
          <w:rtl w:val="true"/>
        </w:rPr>
        <w:t xml:space="preserve"> </w:t>
      </w:r>
      <w:r>
        <w:rPr>
          <w:rtl w:val="true"/>
        </w:rPr>
        <w:t xml:space="preserve">למחמד בן זכי סיאד </w:t>
      </w:r>
      <w:r>
        <w:rPr>
          <w:rtl w:val="true"/>
        </w:rPr>
        <w:t>(</w:t>
      </w:r>
      <w:r>
        <w:rPr>
          <w:rtl w:val="true"/>
        </w:rPr>
        <w:t>להלן</w:t>
      </w:r>
      <w:r>
        <w:rPr>
          <w:rtl w:val="true"/>
        </w:rPr>
        <w:t>: "</w:t>
      </w:r>
      <w:r>
        <w:rPr>
          <w:b/>
          <w:b/>
          <w:bCs/>
          <w:rtl w:val="true"/>
        </w:rPr>
        <w:t>סיאד</w:t>
      </w:r>
      <w:r>
        <w:rPr>
          <w:rtl w:val="true"/>
        </w:rPr>
        <w:t xml:space="preserve">"), </w:t>
      </w:r>
      <w:r>
        <w:rPr>
          <w:rtl w:val="true"/>
        </w:rPr>
        <w:t>עובד הקונסוליה ותושב ישראל</w:t>
      </w:r>
      <w:r>
        <w:rPr>
          <w:rtl w:val="true"/>
        </w:rPr>
        <w:t xml:space="preserve">, </w:t>
      </w:r>
      <w:r>
        <w:rPr>
          <w:rtl w:val="true"/>
        </w:rPr>
        <w:t xml:space="preserve">לסייע לו בכך שיתלווה לנאשם </w:t>
      </w:r>
      <w:r>
        <w:rPr/>
        <w:t>1</w:t>
      </w:r>
      <w:r>
        <w:rPr>
          <w:rtl w:val="true"/>
        </w:rPr>
        <w:t xml:space="preserve"> </w:t>
      </w:r>
      <w:r>
        <w:rPr>
          <w:rtl w:val="true"/>
        </w:rPr>
        <w:t>בחלק מנסיעותיו לגדה המערבית עם הנשק</w:t>
      </w:r>
      <w:r>
        <w:rPr>
          <w:rtl w:val="true"/>
        </w:rPr>
        <w:t xml:space="preserve">. </w:t>
      </w:r>
      <w:r>
        <w:rPr>
          <w:rtl w:val="true"/>
        </w:rPr>
        <w:t>סיאד הסכים לכך</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t xml:space="preserve">על פי המתואר </w:t>
      </w:r>
      <w:r>
        <w:rPr>
          <w:b/>
          <w:b/>
          <w:bCs/>
          <w:rtl w:val="true"/>
        </w:rPr>
        <w:t>באישום ראשון</w:t>
      </w:r>
      <w:r>
        <w:rPr>
          <w:b/>
          <w:bCs/>
          <w:rtl w:val="true"/>
        </w:rPr>
        <w:t>,</w:t>
      </w:r>
      <w:r>
        <w:rPr>
          <w:rtl w:val="true"/>
        </w:rPr>
        <w:t xml:space="preserve"> </w:t>
      </w:r>
      <w:r>
        <w:rPr>
          <w:rtl w:val="true"/>
        </w:rPr>
        <w:t xml:space="preserve">בתאריך </w:t>
      </w:r>
      <w:r>
        <w:rPr/>
        <w:t>21.12.17</w:t>
      </w:r>
      <w:r>
        <w:rPr>
          <w:rtl w:val="true"/>
        </w:rPr>
        <w:t xml:space="preserve"> </w:t>
      </w:r>
      <w:r>
        <w:rPr>
          <w:rtl w:val="true"/>
        </w:rPr>
        <w:t>או בסמוך לכך</w:t>
      </w:r>
      <w:r>
        <w:rPr>
          <w:rtl w:val="true"/>
        </w:rPr>
        <w:t xml:space="preserve">, </w:t>
      </w:r>
      <w:r>
        <w:rPr>
          <w:rtl w:val="true"/>
        </w:rPr>
        <w:t xml:space="preserve">הנאשם </w:t>
      </w:r>
      <w:r>
        <w:rPr/>
        <w:t>1</w:t>
      </w:r>
      <w:r>
        <w:rPr>
          <w:rtl w:val="true"/>
        </w:rPr>
        <w:t xml:space="preserve"> </w:t>
      </w:r>
      <w:r>
        <w:rPr>
          <w:rtl w:val="true"/>
        </w:rPr>
        <w:t>פגש את זוהיר בעזה</w:t>
      </w:r>
      <w:r>
        <w:rPr>
          <w:rtl w:val="true"/>
        </w:rPr>
        <w:t xml:space="preserve">, </w:t>
      </w:r>
      <w:r>
        <w:rPr>
          <w:rtl w:val="true"/>
        </w:rPr>
        <w:t xml:space="preserve">וקיבל ממנו </w:t>
      </w:r>
      <w:r>
        <w:rPr/>
        <w:t>5</w:t>
      </w:r>
      <w:r>
        <w:rPr>
          <w:rtl w:val="true"/>
        </w:rPr>
        <w:t xml:space="preserve"> </w:t>
      </w:r>
      <w:r>
        <w:rPr>
          <w:rtl w:val="true"/>
        </w:rPr>
        <w:t>אקדחים</w:t>
      </w:r>
      <w:r>
        <w:rPr>
          <w:rtl w:val="true"/>
        </w:rPr>
        <w:t xml:space="preserve">, </w:t>
      </w:r>
      <w:r>
        <w:rPr>
          <w:rtl w:val="true"/>
        </w:rPr>
        <w:t>מסוג שאינו ידוע למאשימה</w:t>
      </w:r>
      <w:r>
        <w:rPr>
          <w:rtl w:val="true"/>
        </w:rPr>
        <w:t xml:space="preserve">, </w:t>
      </w:r>
      <w:r>
        <w:rPr>
          <w:rtl w:val="true"/>
        </w:rPr>
        <w:t xml:space="preserve">כשהם עטופים בניילון </w:t>
      </w:r>
      <w:r>
        <w:rPr>
          <w:rtl w:val="true"/>
        </w:rPr>
        <w:t>(</w:t>
      </w:r>
      <w:r>
        <w:rPr>
          <w:rtl w:val="true"/>
        </w:rPr>
        <w:t>להלן</w:t>
      </w:r>
      <w:r>
        <w:rPr>
          <w:rtl w:val="true"/>
        </w:rPr>
        <w:t>: "</w:t>
      </w:r>
      <w:r>
        <w:rPr>
          <w:b/>
          <w:b/>
          <w:bCs/>
          <w:rtl w:val="true"/>
        </w:rPr>
        <w:t>החבילה</w:t>
      </w:r>
      <w:r>
        <w:rPr>
          <w:rtl w:val="true"/>
        </w:rPr>
        <w:t xml:space="preserve">"), </w:t>
      </w:r>
      <w:r>
        <w:rPr>
          <w:rtl w:val="true"/>
        </w:rPr>
        <w:t xml:space="preserve">וכשהנאשם </w:t>
      </w:r>
      <w:r>
        <w:rPr/>
        <w:t>1</w:t>
      </w:r>
      <w:r>
        <w:rPr>
          <w:rtl w:val="true"/>
        </w:rPr>
        <w:t xml:space="preserve"> </w:t>
      </w:r>
      <w:r>
        <w:rPr>
          <w:rtl w:val="true"/>
        </w:rPr>
        <w:t>יודע שמדובר באקדחים</w:t>
      </w:r>
      <w:r>
        <w:rPr>
          <w:rtl w:val="true"/>
        </w:rPr>
        <w:t xml:space="preserve">, </w:t>
      </w:r>
      <w:r>
        <w:rPr>
          <w:rtl w:val="true"/>
        </w:rPr>
        <w:t>ואין לו היתר או רישיון להחזיקם</w:t>
      </w:r>
      <w:r>
        <w:rPr>
          <w:rtl w:val="true"/>
        </w:rPr>
        <w:t xml:space="preserve">. </w:t>
      </w:r>
      <w:r>
        <w:rPr>
          <w:rtl w:val="true"/>
        </w:rPr>
        <w:t xml:space="preserve">הנאשם </w:t>
      </w:r>
      <w:r>
        <w:rPr/>
        <w:t>1</w:t>
      </w:r>
      <w:r>
        <w:rPr>
          <w:rtl w:val="true"/>
        </w:rPr>
        <w:t xml:space="preserve"> </w:t>
      </w:r>
      <w:r>
        <w:rPr>
          <w:rtl w:val="true"/>
        </w:rPr>
        <w:t>הכניס את החבילה לתיקו</w:t>
      </w:r>
      <w:r>
        <w:rPr>
          <w:rtl w:val="true"/>
        </w:rPr>
        <w:t xml:space="preserve">, </w:t>
      </w:r>
      <w:r>
        <w:rPr>
          <w:rtl w:val="true"/>
        </w:rPr>
        <w:t>הניח את התיק בתא המטען של הרכב הקונסולרי והגיע למעבר ארז כשהוא נוהג ברכב הקונסולרי והחבילה ברשותו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במהלך הבידוק הביטחוני של הרכב הקונסולרי במעבר ארז</w:t>
      </w:r>
      <w:r>
        <w:rPr>
          <w:rtl w:val="true"/>
        </w:rPr>
        <w:t xml:space="preserve">, </w:t>
      </w:r>
      <w:r>
        <w:rPr>
          <w:rtl w:val="true"/>
        </w:rPr>
        <w:t xml:space="preserve">הנאשם </w:t>
      </w:r>
      <w:r>
        <w:rPr/>
        <w:t>1</w:t>
      </w:r>
      <w:r>
        <w:rPr>
          <w:rtl w:val="true"/>
        </w:rPr>
        <w:t xml:space="preserve"> </w:t>
      </w:r>
      <w:r>
        <w:rPr>
          <w:rtl w:val="true"/>
        </w:rPr>
        <w:t>נשאל על ידי המאבטח האם כל התיקים אותם הוא מעביר ברכב הקונסולרי הם תיקים השייכים לו ולנוסע איתו או מילים דומות לאלה</w:t>
      </w:r>
      <w:r>
        <w:rPr>
          <w:rtl w:val="true"/>
        </w:rPr>
        <w:t xml:space="preserve">, </w:t>
      </w:r>
      <w:r>
        <w:rPr>
          <w:rtl w:val="true"/>
        </w:rPr>
        <w:t xml:space="preserve">והנאשם </w:t>
      </w:r>
      <w:r>
        <w:rPr/>
        <w:t>1</w:t>
      </w:r>
      <w:r>
        <w:rPr>
          <w:rtl w:val="true"/>
        </w:rPr>
        <w:t xml:space="preserve"> </w:t>
      </w:r>
      <w:r>
        <w:rPr>
          <w:rtl w:val="true"/>
        </w:rPr>
        <w:t>השיב בחיוב</w:t>
      </w:r>
      <w:r>
        <w:rPr>
          <w:rtl w:val="true"/>
        </w:rPr>
        <w:t xml:space="preserve">, </w:t>
      </w:r>
      <w:r>
        <w:rPr>
          <w:rtl w:val="true"/>
        </w:rPr>
        <w:t>וכן טען שאין לו נשק</w:t>
      </w:r>
      <w:r>
        <w:rPr>
          <w:rtl w:val="true"/>
        </w:rPr>
        <w:t xml:space="preserve">, </w:t>
      </w:r>
      <w:r>
        <w:rPr>
          <w:rtl w:val="true"/>
        </w:rPr>
        <w:t>דברים שידע שאינם אמת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בהסתמך על מצג השווא שהציג הנאשם </w:t>
      </w:r>
      <w:r>
        <w:rPr/>
        <w:t>1</w:t>
      </w:r>
      <w:r>
        <w:rPr>
          <w:rtl w:val="true"/>
        </w:rPr>
        <w:t xml:space="preserve"> </w:t>
      </w:r>
      <w:r>
        <w:rPr>
          <w:rtl w:val="true"/>
        </w:rPr>
        <w:t>בפני המאבטח</w:t>
      </w:r>
      <w:r>
        <w:rPr>
          <w:rtl w:val="true"/>
        </w:rPr>
        <w:t xml:space="preserve">, </w:t>
      </w:r>
      <w:r>
        <w:rPr>
          <w:rtl w:val="true"/>
        </w:rPr>
        <w:t xml:space="preserve">הנאשם </w:t>
      </w:r>
      <w:r>
        <w:rPr/>
        <w:t>1</w:t>
      </w:r>
      <w:r>
        <w:rPr>
          <w:rtl w:val="true"/>
        </w:rPr>
        <w:t xml:space="preserve"> </w:t>
      </w:r>
      <w:r>
        <w:rPr>
          <w:rtl w:val="true"/>
        </w:rPr>
        <w:t>יצא מעזה ועבר את מעבר ארז ללא בדיקה פיזית בתוך הרכב הקונסולרי</w:t>
      </w:r>
      <w:r>
        <w:rPr>
          <w:rtl w:val="true"/>
        </w:rPr>
        <w:t xml:space="preserve">, </w:t>
      </w:r>
      <w:r>
        <w:rPr>
          <w:rtl w:val="true"/>
        </w:rPr>
        <w:t>והביא את החבילה לישראל</w:t>
      </w:r>
      <w:r>
        <w:rPr>
          <w:rtl w:val="true"/>
        </w:rPr>
        <w:t xml:space="preserve">. </w:t>
      </w:r>
      <w:r>
        <w:rPr>
          <w:rtl w:val="true"/>
        </w:rPr>
        <w:t>בהגיעו לקונסוליה</w:t>
      </w:r>
      <w:r>
        <w:rPr>
          <w:rtl w:val="true"/>
        </w:rPr>
        <w:t xml:space="preserve">, </w:t>
      </w:r>
      <w:r>
        <w:rPr>
          <w:rtl w:val="true"/>
        </w:rPr>
        <w:t xml:space="preserve">הנאשם </w:t>
      </w:r>
      <w:r>
        <w:rPr/>
        <w:t>1</w:t>
      </w:r>
      <w:r>
        <w:rPr>
          <w:rtl w:val="true"/>
        </w:rPr>
        <w:t xml:space="preserve"> </w:t>
      </w:r>
      <w:r>
        <w:rPr>
          <w:rtl w:val="true"/>
        </w:rPr>
        <w:t>העביר את החבילה לרכב הסיטרואן</w:t>
      </w:r>
      <w:r>
        <w:rPr>
          <w:rtl w:val="true"/>
        </w:rPr>
        <w:t xml:space="preserve">, </w:t>
      </w:r>
      <w:r>
        <w:rPr>
          <w:rtl w:val="true"/>
        </w:rPr>
        <w:t>נסע בו למחסום</w:t>
      </w:r>
      <w:r>
        <w:rPr>
          <w:rtl w:val="true"/>
        </w:rPr>
        <w:t xml:space="preserve">, </w:t>
      </w:r>
      <w:r>
        <w:rPr>
          <w:rtl w:val="true"/>
        </w:rPr>
        <w:t>עבר אותו ללא בדיקה והגיע לכיכר השעון ברמאללה</w:t>
      </w:r>
      <w:r>
        <w:rPr>
          <w:rtl w:val="true"/>
        </w:rPr>
        <w:t xml:space="preserve">, </w:t>
      </w:r>
      <w:r>
        <w:rPr>
          <w:rtl w:val="true"/>
        </w:rPr>
        <w:t>שם פגש את אחמד ומסר לו את החבילה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במעשיו אלה</w:t>
      </w:r>
      <w:r>
        <w:rPr>
          <w:rtl w:val="true"/>
        </w:rPr>
        <w:t xml:space="preserve">, </w:t>
      </w:r>
      <w:r>
        <w:rPr>
          <w:rtl w:val="true"/>
        </w:rPr>
        <w:t xml:space="preserve">הנאשם </w:t>
      </w:r>
      <w:r>
        <w:rPr/>
        <w:t>1</w:t>
      </w:r>
      <w:r>
        <w:rPr>
          <w:rtl w:val="true"/>
        </w:rPr>
        <w:t xml:space="preserve">, </w:t>
      </w:r>
      <w:r>
        <w:rPr>
          <w:rtl w:val="true"/>
        </w:rPr>
        <w:t>בצוותא חדא עם אחרים</w:t>
      </w:r>
      <w:r>
        <w:rPr>
          <w:rtl w:val="true"/>
        </w:rPr>
        <w:t xml:space="preserve">, </w:t>
      </w:r>
      <w:r>
        <w:rPr>
          <w:rtl w:val="true"/>
        </w:rPr>
        <w:t>ייבאו נשק</w:t>
      </w:r>
      <w:r>
        <w:rPr>
          <w:rtl w:val="true"/>
        </w:rPr>
        <w:t xml:space="preserve">. </w:t>
      </w:r>
      <w:r>
        <w:rPr>
          <w:rtl w:val="true"/>
        </w:rPr>
        <w:t xml:space="preserve">הנאשם </w:t>
      </w:r>
      <w:r>
        <w:rPr/>
        <w:t>1</w:t>
      </w:r>
      <w:r>
        <w:rPr>
          <w:rtl w:val="true"/>
        </w:rPr>
        <w:t xml:space="preserve"> </w:t>
      </w:r>
      <w:r>
        <w:rPr>
          <w:rtl w:val="true"/>
        </w:rPr>
        <w:t>הוביל את הנשק בלא רשות על פי דין לנשיאתו או להובלתו</w:t>
      </w:r>
      <w:r>
        <w:rPr>
          <w:rtl w:val="true"/>
        </w:rPr>
        <w:t xml:space="preserve">, </w:t>
      </w:r>
      <w:r>
        <w:rPr>
          <w:rtl w:val="true"/>
        </w:rPr>
        <w:t>ועשה זאת תוך ניצול העובדה שבתוך הרכב הקונסולרי בו נהג</w:t>
      </w:r>
      <w:r>
        <w:rPr>
          <w:rtl w:val="true"/>
        </w:rPr>
        <w:t xml:space="preserve">, </w:t>
      </w:r>
      <w:r>
        <w:rPr>
          <w:rtl w:val="true"/>
        </w:rPr>
        <w:t>לא נערכה בדיקה פיזית</w:t>
      </w:r>
      <w:r>
        <w:rPr>
          <w:rtl w:val="true"/>
        </w:rPr>
        <w:t xml:space="preserve">.  </w:t>
      </w:r>
      <w:r>
        <w:rPr>
          <w:rtl w:val="true"/>
        </w:rPr>
        <w:t>כמו כן</w:t>
      </w:r>
      <w:r>
        <w:rPr>
          <w:rtl w:val="true"/>
        </w:rPr>
        <w:t xml:space="preserve">, </w:t>
      </w:r>
      <w:r>
        <w:rPr>
          <w:rtl w:val="true"/>
        </w:rPr>
        <w:t xml:space="preserve">הנאשם </w:t>
      </w:r>
      <w:r>
        <w:rPr/>
        <w:t>1</w:t>
      </w:r>
      <w:r>
        <w:rPr>
          <w:rtl w:val="true"/>
        </w:rPr>
        <w:t xml:space="preserve"> </w:t>
      </w:r>
      <w:r>
        <w:rPr>
          <w:rtl w:val="true"/>
        </w:rPr>
        <w:t>קיבל דבר במרמה בנסיבות מחמירות</w:t>
      </w:r>
      <w:r>
        <w:rPr>
          <w:rtl w:val="true"/>
        </w:rPr>
        <w:t xml:space="preserve">. </w:t>
      </w:r>
      <w:r>
        <w:rPr>
          <w:rtl w:val="true"/>
        </w:rPr>
        <w:t>הנסיבות המחמירות הן ניצול המעמד הקונסולרי לצורך ייבוא נשק דרך מעבר גבול בין ישראל לעזה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על פי המתואר </w:t>
      </w:r>
      <w:r>
        <w:rPr>
          <w:b/>
          <w:b/>
          <w:bCs/>
          <w:rtl w:val="true"/>
        </w:rPr>
        <w:t>באישום שני</w:t>
      </w:r>
      <w:r>
        <w:rPr>
          <w:rtl w:val="true"/>
        </w:rPr>
        <w:t xml:space="preserve">, </w:t>
      </w:r>
      <w:r>
        <w:rPr>
          <w:rtl w:val="true"/>
        </w:rPr>
        <w:t xml:space="preserve">בתאריך </w:t>
      </w:r>
      <w:r>
        <w:rPr/>
        <w:t>15.01.18</w:t>
      </w:r>
      <w:r>
        <w:rPr>
          <w:rtl w:val="true"/>
        </w:rPr>
        <w:t xml:space="preserve"> </w:t>
      </w:r>
      <w:r>
        <w:rPr>
          <w:rtl w:val="true"/>
        </w:rPr>
        <w:t>או בסמוך לכך</w:t>
      </w:r>
      <w:r>
        <w:rPr>
          <w:rtl w:val="true"/>
        </w:rPr>
        <w:t xml:space="preserve">, </w:t>
      </w:r>
      <w:r>
        <w:rPr>
          <w:rtl w:val="true"/>
        </w:rPr>
        <w:t xml:space="preserve">הנאשם </w:t>
      </w:r>
      <w:r>
        <w:rPr/>
        <w:t>1</w:t>
      </w:r>
      <w:r>
        <w:rPr>
          <w:rtl w:val="true"/>
        </w:rPr>
        <w:t xml:space="preserve"> </w:t>
      </w:r>
      <w:r>
        <w:rPr>
          <w:rtl w:val="true"/>
        </w:rPr>
        <w:t xml:space="preserve">הגיע לעזה וקיבל מזוהיר חבילה ובה </w:t>
      </w:r>
      <w:r>
        <w:rPr/>
        <w:t>10</w:t>
      </w:r>
      <w:r>
        <w:rPr>
          <w:rtl w:val="true"/>
        </w:rPr>
        <w:t xml:space="preserve"> </w:t>
      </w:r>
      <w:r>
        <w:rPr>
          <w:rtl w:val="true"/>
        </w:rPr>
        <w:t>אקדחים</w:t>
      </w:r>
      <w:r>
        <w:rPr>
          <w:rtl w:val="true"/>
        </w:rPr>
        <w:t xml:space="preserve">, </w:t>
      </w:r>
      <w:r>
        <w:rPr>
          <w:rtl w:val="true"/>
        </w:rPr>
        <w:t>מסוג שאינו ידוע למאשימה</w:t>
      </w:r>
      <w:r>
        <w:rPr>
          <w:rtl w:val="true"/>
        </w:rPr>
        <w:t xml:space="preserve">, </w:t>
      </w:r>
      <w:r>
        <w:rPr>
          <w:rtl w:val="true"/>
        </w:rPr>
        <w:t xml:space="preserve">כשהם עטופים בניילון </w:t>
      </w:r>
      <w:r>
        <w:rPr>
          <w:rtl w:val="true"/>
        </w:rPr>
        <w:t>(</w:t>
      </w:r>
      <w:r>
        <w:rPr>
          <w:rtl w:val="true"/>
        </w:rPr>
        <w:t>להלן</w:t>
      </w:r>
      <w:r>
        <w:rPr>
          <w:rtl w:val="true"/>
        </w:rPr>
        <w:t>: "</w:t>
      </w:r>
      <w:r>
        <w:rPr>
          <w:b/>
          <w:b/>
          <w:bCs/>
          <w:rtl w:val="true"/>
        </w:rPr>
        <w:t>החבילה</w:t>
      </w:r>
      <w:r>
        <w:rPr>
          <w:rtl w:val="true"/>
        </w:rPr>
        <w:t xml:space="preserve">"), </w:t>
      </w:r>
      <w:r>
        <w:rPr>
          <w:rtl w:val="true"/>
        </w:rPr>
        <w:t xml:space="preserve">וכשהנאשם </w:t>
      </w:r>
      <w:r>
        <w:rPr/>
        <w:t>1</w:t>
      </w:r>
      <w:r>
        <w:rPr>
          <w:rtl w:val="true"/>
        </w:rPr>
        <w:t xml:space="preserve"> </w:t>
      </w:r>
      <w:r>
        <w:rPr>
          <w:rtl w:val="true"/>
        </w:rPr>
        <w:t>יודע שמדובר באקדחים</w:t>
      </w:r>
      <w:r>
        <w:rPr>
          <w:rtl w:val="true"/>
        </w:rPr>
        <w:t xml:space="preserve">, </w:t>
      </w:r>
      <w:r>
        <w:rPr>
          <w:rtl w:val="true"/>
        </w:rPr>
        <w:t>ואין לו היתר או רישיון להחזיקם</w:t>
      </w:r>
      <w:r>
        <w:rPr>
          <w:rtl w:val="true"/>
        </w:rPr>
        <w:t xml:space="preserve">. </w:t>
      </w:r>
      <w:r>
        <w:rPr>
          <w:rtl w:val="true"/>
        </w:rPr>
        <w:t xml:space="preserve">הנאשם </w:t>
      </w:r>
      <w:r>
        <w:rPr/>
        <w:t>1</w:t>
      </w:r>
      <w:r>
        <w:rPr>
          <w:rtl w:val="true"/>
        </w:rPr>
        <w:t xml:space="preserve"> </w:t>
      </w:r>
      <w:r>
        <w:rPr>
          <w:rtl w:val="true"/>
        </w:rPr>
        <w:t>הכניס את החבילה לתיקו</w:t>
      </w:r>
      <w:r>
        <w:rPr>
          <w:rtl w:val="true"/>
        </w:rPr>
        <w:t xml:space="preserve">, </w:t>
      </w:r>
      <w:r>
        <w:rPr>
          <w:rtl w:val="true"/>
        </w:rPr>
        <w:t>הניחו בתא המטען של הרכב הקונסולרי והגיע למעבר ארז כשהוא נוהג ברכב הקונסולרי והחבילה ברשותו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במהלך הבידוק הביטחוני של הרכב הקונסולרי במעבר ארז הנאשם </w:t>
      </w:r>
      <w:r>
        <w:rPr/>
        <w:t>1</w:t>
      </w:r>
      <w:r>
        <w:rPr>
          <w:rtl w:val="true"/>
        </w:rPr>
        <w:t xml:space="preserve"> </w:t>
      </w:r>
      <w:r>
        <w:rPr>
          <w:rtl w:val="true"/>
        </w:rPr>
        <w:t>נשאל על ידי המאבטח האם כל התיקים אותם הוא מעביר ברכב הקונסולרי הם תיקים השייכים לו ולנוסע איתו</w:t>
      </w:r>
      <w:r>
        <w:rPr>
          <w:rtl w:val="true"/>
        </w:rPr>
        <w:t xml:space="preserve">, </w:t>
      </w:r>
      <w:r>
        <w:rPr>
          <w:rtl w:val="true"/>
        </w:rPr>
        <w:t>או מילים דומות לאלה</w:t>
      </w:r>
      <w:r>
        <w:rPr>
          <w:rtl w:val="true"/>
        </w:rPr>
        <w:t xml:space="preserve">, </w:t>
      </w:r>
      <w:r>
        <w:rPr>
          <w:rtl w:val="true"/>
        </w:rPr>
        <w:t xml:space="preserve">והנאשם </w:t>
      </w:r>
      <w:r>
        <w:rPr/>
        <w:t>1</w:t>
      </w:r>
      <w:r>
        <w:rPr>
          <w:rtl w:val="true"/>
        </w:rPr>
        <w:t xml:space="preserve"> </w:t>
      </w:r>
      <w:r>
        <w:rPr>
          <w:rtl w:val="true"/>
        </w:rPr>
        <w:t>השיב בחיוב</w:t>
      </w:r>
      <w:r>
        <w:rPr>
          <w:rtl w:val="true"/>
        </w:rPr>
        <w:t xml:space="preserve">, </w:t>
      </w:r>
      <w:r>
        <w:rPr>
          <w:rtl w:val="true"/>
        </w:rPr>
        <w:t>וכן טען שאין ברשותו נשק</w:t>
      </w:r>
      <w:r>
        <w:rPr>
          <w:rtl w:val="true"/>
        </w:rPr>
        <w:t xml:space="preserve">, </w:t>
      </w:r>
      <w:r>
        <w:rPr>
          <w:rtl w:val="true"/>
        </w:rPr>
        <w:t>דברים שידע שאינם אמת</w:t>
      </w:r>
      <w:r>
        <w:rPr>
          <w:rtl w:val="true"/>
        </w:rPr>
        <w:t xml:space="preserve">.  </w:t>
      </w:r>
      <w:r>
        <w:rPr>
          <w:rtl w:val="true"/>
        </w:rPr>
        <w:t xml:space="preserve">בהסתמך על מצג השווא שהוצג על ידי הנאשם </w:t>
      </w:r>
      <w:r>
        <w:rPr/>
        <w:t>1</w:t>
      </w:r>
      <w:r>
        <w:rPr>
          <w:rtl w:val="true"/>
        </w:rPr>
        <w:t xml:space="preserve"> </w:t>
      </w:r>
      <w:r>
        <w:rPr>
          <w:rtl w:val="true"/>
        </w:rPr>
        <w:t>בפני המאבטח</w:t>
      </w:r>
      <w:r>
        <w:rPr>
          <w:rtl w:val="true"/>
        </w:rPr>
        <w:t xml:space="preserve">, </w:t>
      </w:r>
      <w:r>
        <w:rPr>
          <w:rtl w:val="true"/>
        </w:rPr>
        <w:t xml:space="preserve">הנאשם </w:t>
      </w:r>
      <w:r>
        <w:rPr/>
        <w:t>1</w:t>
      </w:r>
      <w:r>
        <w:rPr>
          <w:rtl w:val="true"/>
        </w:rPr>
        <w:t xml:space="preserve"> </w:t>
      </w:r>
      <w:r>
        <w:rPr>
          <w:rtl w:val="true"/>
        </w:rPr>
        <w:t>יצא מעזה ועבר את מעבר ארז ללא בדיקה פיזית בתוך הרכב הקונסולרי</w:t>
      </w:r>
      <w:r>
        <w:rPr>
          <w:rtl w:val="true"/>
        </w:rPr>
        <w:t xml:space="preserve">, </w:t>
      </w:r>
      <w:r>
        <w:rPr>
          <w:rtl w:val="true"/>
        </w:rPr>
        <w:t>והביא את החבילה לישראל</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בהגיעו לקונסוליה</w:t>
      </w:r>
      <w:r>
        <w:rPr>
          <w:rtl w:val="true"/>
        </w:rPr>
        <w:t xml:space="preserve">, </w:t>
      </w:r>
      <w:r>
        <w:rPr>
          <w:rtl w:val="true"/>
        </w:rPr>
        <w:t xml:space="preserve">הנאשם </w:t>
      </w:r>
      <w:r>
        <w:rPr/>
        <w:t>1</w:t>
      </w:r>
      <w:r>
        <w:rPr>
          <w:rtl w:val="true"/>
        </w:rPr>
        <w:t xml:space="preserve"> </w:t>
      </w:r>
      <w:r>
        <w:rPr>
          <w:rtl w:val="true"/>
        </w:rPr>
        <w:t>העביר את החבילה מהרכב הקונסולרי לרכב הסיטרואן</w:t>
      </w:r>
      <w:r>
        <w:rPr>
          <w:rtl w:val="true"/>
        </w:rPr>
        <w:t xml:space="preserve">. </w:t>
      </w:r>
      <w:r>
        <w:rPr>
          <w:rtl w:val="true"/>
        </w:rPr>
        <w:t>במועד הנ</w:t>
      </w:r>
      <w:r>
        <w:rPr>
          <w:rtl w:val="true"/>
        </w:rPr>
        <w:t>"</w:t>
      </w:r>
      <w:r>
        <w:rPr>
          <w:rtl w:val="true"/>
        </w:rPr>
        <w:t>ל</w:t>
      </w:r>
      <w:r>
        <w:rPr>
          <w:rtl w:val="true"/>
        </w:rPr>
        <w:t xml:space="preserve">, </w:t>
      </w:r>
      <w:r>
        <w:rPr>
          <w:rtl w:val="true"/>
        </w:rPr>
        <w:t>בשעות הערב</w:t>
      </w:r>
      <w:r>
        <w:rPr>
          <w:rtl w:val="true"/>
        </w:rPr>
        <w:t xml:space="preserve">, </w:t>
      </w:r>
      <w:r>
        <w:rPr>
          <w:rtl w:val="true"/>
        </w:rPr>
        <w:t xml:space="preserve">הנאשם </w:t>
      </w:r>
      <w:r>
        <w:rPr/>
        <w:t>1</w:t>
      </w:r>
      <w:r>
        <w:rPr>
          <w:rtl w:val="true"/>
        </w:rPr>
        <w:t xml:space="preserve"> </w:t>
      </w:r>
      <w:r>
        <w:rPr>
          <w:rtl w:val="true"/>
        </w:rPr>
        <w:t>פגש את סיאד בירושלים ויחד הם נסעו ברכב הסיטרואן לרמאללה</w:t>
      </w:r>
      <w:r>
        <w:rPr>
          <w:rtl w:val="true"/>
        </w:rPr>
        <w:t xml:space="preserve">, </w:t>
      </w:r>
      <w:r>
        <w:rPr>
          <w:rtl w:val="true"/>
        </w:rPr>
        <w:t>דרך מחסום</w:t>
      </w:r>
      <w:r>
        <w:rPr>
          <w:rtl w:val="true"/>
        </w:rPr>
        <w:t xml:space="preserve">, </w:t>
      </w:r>
      <w:r>
        <w:rPr>
          <w:rtl w:val="true"/>
        </w:rPr>
        <w:t>כשהחבילה ברשותם</w:t>
      </w:r>
      <w:r>
        <w:rPr>
          <w:rtl w:val="true"/>
        </w:rPr>
        <w:t xml:space="preserve">. </w:t>
      </w:r>
      <w:r>
        <w:rPr>
          <w:rtl w:val="true"/>
        </w:rPr>
        <w:t xml:space="preserve">בדרך סיאד החזיק את החבילה וביקש שהנאשם </w:t>
      </w:r>
      <w:r>
        <w:rPr/>
        <w:t>1</w:t>
      </w:r>
      <w:r>
        <w:rPr>
          <w:rtl w:val="true"/>
        </w:rPr>
        <w:t xml:space="preserve"> </w:t>
      </w:r>
      <w:r>
        <w:rPr>
          <w:rtl w:val="true"/>
        </w:rPr>
        <w:t>ייקח אקדח אחד עבור סיאד</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הנאשם </w:t>
      </w:r>
      <w:r>
        <w:rPr/>
        <w:t>1</w:t>
      </w:r>
      <w:r>
        <w:rPr>
          <w:rtl w:val="true"/>
        </w:rPr>
        <w:t xml:space="preserve"> </w:t>
      </w:r>
      <w:r>
        <w:rPr>
          <w:rtl w:val="true"/>
        </w:rPr>
        <w:t xml:space="preserve">וסיאד הגיעו לכיכר </w:t>
      </w:r>
      <w:r>
        <w:rPr>
          <w:rtl w:val="true"/>
        </w:rPr>
        <w:t>"</w:t>
      </w:r>
      <w:r>
        <w:rPr>
          <w:rtl w:val="true"/>
        </w:rPr>
        <w:t>השעון</w:t>
      </w:r>
      <w:r>
        <w:rPr>
          <w:rtl w:val="true"/>
        </w:rPr>
        <w:t xml:space="preserve">" </w:t>
      </w:r>
      <w:r>
        <w:rPr>
          <w:rtl w:val="true"/>
        </w:rPr>
        <w:t>ברמאללה</w:t>
      </w:r>
      <w:r>
        <w:rPr>
          <w:rtl w:val="true"/>
        </w:rPr>
        <w:t xml:space="preserve">, </w:t>
      </w:r>
      <w:r>
        <w:rPr>
          <w:rtl w:val="true"/>
        </w:rPr>
        <w:t>ויצאו מהרכב</w:t>
      </w:r>
      <w:r>
        <w:rPr>
          <w:rtl w:val="true"/>
        </w:rPr>
        <w:t xml:space="preserve">. </w:t>
      </w:r>
      <w:r>
        <w:rPr>
          <w:rtl w:val="true"/>
        </w:rPr>
        <w:t xml:space="preserve">הנאשם </w:t>
      </w:r>
      <w:r>
        <w:rPr/>
        <w:t>1</w:t>
      </w:r>
      <w:r>
        <w:rPr>
          <w:rtl w:val="true"/>
        </w:rPr>
        <w:t xml:space="preserve"> </w:t>
      </w:r>
      <w:r>
        <w:rPr>
          <w:rtl w:val="true"/>
        </w:rPr>
        <w:t xml:space="preserve">ביקש מסיאד להישאר בצד ולתצפת על העברת החבילה על מנת להפיג את חששותיו של הנאשם </w:t>
      </w:r>
      <w:r>
        <w:rPr/>
        <w:t>1</w:t>
      </w:r>
      <w:r>
        <w:rPr>
          <w:rtl w:val="true"/>
        </w:rPr>
        <w:t xml:space="preserve">. </w:t>
      </w:r>
      <w:r>
        <w:rPr>
          <w:rtl w:val="true"/>
        </w:rPr>
        <w:t>לאחר תיאום טלפוני עם אחמד</w:t>
      </w:r>
      <w:r>
        <w:rPr>
          <w:rtl w:val="true"/>
        </w:rPr>
        <w:t xml:space="preserve">, </w:t>
      </w:r>
      <w:r>
        <w:rPr>
          <w:rtl w:val="true"/>
        </w:rPr>
        <w:t xml:space="preserve">הנאשם </w:t>
      </w:r>
      <w:r>
        <w:rPr/>
        <w:t>1</w:t>
      </w:r>
      <w:r>
        <w:rPr>
          <w:rtl w:val="true"/>
        </w:rPr>
        <w:t xml:space="preserve"> </w:t>
      </w:r>
      <w:r>
        <w:rPr>
          <w:rtl w:val="true"/>
        </w:rPr>
        <w:t xml:space="preserve">פגש את מחמד כתות ליד </w:t>
      </w:r>
      <w:r>
        <w:rPr>
          <w:rtl w:val="true"/>
        </w:rPr>
        <w:t>"</w:t>
      </w:r>
      <w:r>
        <w:rPr>
          <w:rtl w:val="true"/>
        </w:rPr>
        <w:t>פלאזה מול</w:t>
      </w:r>
      <w:r>
        <w:rPr>
          <w:rtl w:val="true"/>
        </w:rPr>
        <w:t xml:space="preserve">" </w:t>
      </w:r>
      <w:r>
        <w:rPr>
          <w:rtl w:val="true"/>
        </w:rPr>
        <w:t>ברמאללה</w:t>
      </w:r>
      <w:r>
        <w:rPr>
          <w:rtl w:val="true"/>
        </w:rPr>
        <w:t xml:space="preserve">, </w:t>
      </w:r>
      <w:r>
        <w:rPr>
          <w:rtl w:val="true"/>
        </w:rPr>
        <w:t xml:space="preserve">שם הנאשם </w:t>
      </w:r>
      <w:r>
        <w:rPr/>
        <w:t>1</w:t>
      </w:r>
      <w:r>
        <w:rPr>
          <w:rtl w:val="true"/>
        </w:rPr>
        <w:t xml:space="preserve"> </w:t>
      </w:r>
      <w:r>
        <w:rPr>
          <w:rtl w:val="true"/>
        </w:rPr>
        <w:t>מסר למחמד כתות את החבילה</w:t>
      </w:r>
      <w:r>
        <w:rPr>
          <w:rtl w:val="true"/>
        </w:rPr>
        <w:t xml:space="preserve">. </w:t>
      </w:r>
      <w:r>
        <w:rPr>
          <w:rtl w:val="true"/>
        </w:rPr>
        <w:t>בכל העת סיאד תצפת מרחוק על מהלך ההעברה ואחמד היה בקרבת מקום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במעמד הנ</w:t>
      </w:r>
      <w:r>
        <w:rPr>
          <w:rtl w:val="true"/>
        </w:rPr>
        <w:t>"</w:t>
      </w:r>
      <w:r>
        <w:rPr>
          <w:rtl w:val="true"/>
        </w:rPr>
        <w:t xml:space="preserve">ל ביקש הנאשם </w:t>
      </w:r>
      <w:r>
        <w:rPr/>
        <w:t>1</w:t>
      </w:r>
      <w:r>
        <w:rPr>
          <w:rtl w:val="true"/>
        </w:rPr>
        <w:t xml:space="preserve"> </w:t>
      </w:r>
      <w:r>
        <w:rPr>
          <w:rtl w:val="true"/>
        </w:rPr>
        <w:t>ממחמד כתות לקבל לרשותו אקדח וזאת על מנת להעבירו לסיאד</w:t>
      </w:r>
      <w:r>
        <w:rPr>
          <w:rtl w:val="true"/>
        </w:rPr>
        <w:t xml:space="preserve">, </w:t>
      </w:r>
      <w:r>
        <w:rPr>
          <w:rtl w:val="true"/>
        </w:rPr>
        <w:t>אך נענה כי יש לקבל אישור ממחמד ג</w:t>
      </w:r>
      <w:r>
        <w:rPr>
          <w:rtl w:val="true"/>
        </w:rPr>
        <w:t>'</w:t>
      </w:r>
      <w:r>
        <w:rPr>
          <w:rtl w:val="true"/>
        </w:rPr>
        <w:t>מאל</w:t>
      </w:r>
      <w:r>
        <w:rPr>
          <w:rtl w:val="true"/>
        </w:rPr>
        <w:t xml:space="preserve">. </w:t>
      </w:r>
      <w:r>
        <w:rPr>
          <w:rtl w:val="true"/>
        </w:rPr>
        <w:t xml:space="preserve">בהמשך הנאשם </w:t>
      </w:r>
      <w:r>
        <w:rPr/>
        <w:t>1</w:t>
      </w:r>
      <w:r>
        <w:rPr>
          <w:rtl w:val="true"/>
        </w:rPr>
        <w:t xml:space="preserve"> </w:t>
      </w:r>
      <w:r>
        <w:rPr>
          <w:rtl w:val="true"/>
        </w:rPr>
        <w:t>ביקש גם מאחמד לקבל אקדח לרשותו ונענה כי הדבר ייקח זמן</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במעשיו אלה</w:t>
      </w:r>
      <w:r>
        <w:rPr>
          <w:rtl w:val="true"/>
        </w:rPr>
        <w:t xml:space="preserve">, </w:t>
      </w:r>
      <w:r>
        <w:rPr>
          <w:rtl w:val="true"/>
        </w:rPr>
        <w:t xml:space="preserve">נאשם </w:t>
      </w:r>
      <w:r>
        <w:rPr/>
        <w:t>1</w:t>
      </w:r>
      <w:r>
        <w:rPr>
          <w:rtl w:val="true"/>
        </w:rPr>
        <w:t xml:space="preserve">, </w:t>
      </w:r>
      <w:r>
        <w:rPr>
          <w:rtl w:val="true"/>
        </w:rPr>
        <w:t>בצוותא חדא עם אחרים</w:t>
      </w:r>
      <w:r>
        <w:rPr>
          <w:rtl w:val="true"/>
        </w:rPr>
        <w:t xml:space="preserve">, </w:t>
      </w:r>
      <w:r>
        <w:rPr>
          <w:rtl w:val="true"/>
        </w:rPr>
        <w:t>ייבאו נשק</w:t>
      </w:r>
      <w:r>
        <w:rPr>
          <w:rtl w:val="true"/>
        </w:rPr>
        <w:t xml:space="preserve">. </w:t>
      </w:r>
      <w:r>
        <w:rPr>
          <w:rtl w:val="true"/>
        </w:rPr>
        <w:t xml:space="preserve">נאשם </w:t>
      </w:r>
      <w:r>
        <w:rPr/>
        <w:t>1</w:t>
      </w:r>
      <w:r>
        <w:rPr>
          <w:rtl w:val="true"/>
        </w:rPr>
        <w:t xml:space="preserve"> </w:t>
      </w:r>
      <w:r>
        <w:rPr>
          <w:rtl w:val="true"/>
        </w:rPr>
        <w:t>הוביל נשק בלא רשות על פי דין לנשיאתו או להובלתו</w:t>
      </w:r>
      <w:r>
        <w:rPr>
          <w:rtl w:val="true"/>
        </w:rPr>
        <w:t xml:space="preserve">, </w:t>
      </w:r>
      <w:r>
        <w:rPr>
          <w:rtl w:val="true"/>
        </w:rPr>
        <w:t>ועשה זאת תוך ניצול העובדה שבתוך הרכב הקונסולרי בו נהג</w:t>
      </w:r>
      <w:r>
        <w:rPr>
          <w:rtl w:val="true"/>
        </w:rPr>
        <w:t xml:space="preserve">, </w:t>
      </w:r>
      <w:r>
        <w:rPr>
          <w:rtl w:val="true"/>
        </w:rPr>
        <w:t>לא נערכה בדיקה פיזית</w:t>
      </w:r>
      <w:r>
        <w:rPr>
          <w:rtl w:val="true"/>
        </w:rPr>
        <w:t xml:space="preserve">. </w:t>
      </w:r>
      <w:r>
        <w:rPr>
          <w:rtl w:val="true"/>
        </w:rPr>
        <w:t>כמו כן</w:t>
      </w:r>
      <w:r>
        <w:rPr>
          <w:rtl w:val="true"/>
        </w:rPr>
        <w:t xml:space="preserve">, </w:t>
      </w:r>
      <w:r>
        <w:rPr>
          <w:rtl w:val="true"/>
        </w:rPr>
        <w:t xml:space="preserve">הנאשם </w:t>
      </w:r>
      <w:r>
        <w:rPr/>
        <w:t>1</w:t>
      </w:r>
      <w:r>
        <w:rPr>
          <w:rtl w:val="true"/>
        </w:rPr>
        <w:t xml:space="preserve"> </w:t>
      </w:r>
      <w:r>
        <w:rPr>
          <w:rtl w:val="true"/>
        </w:rPr>
        <w:t>קיבל דבר במרמה בנסיבות מחמירות</w:t>
      </w:r>
      <w:r>
        <w:rPr>
          <w:rtl w:val="true"/>
        </w:rPr>
        <w:t xml:space="preserve">. </w:t>
      </w:r>
      <w:r>
        <w:rPr>
          <w:rtl w:val="true"/>
        </w:rPr>
        <w:t>הנסיבות המחמירות הן ניצול המעמד הקונסולרי לצורך ייבוא נשק דרך מעבר גבול בין ישראל לעזה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על פי המתואר </w:t>
      </w:r>
      <w:r>
        <w:rPr>
          <w:b/>
          <w:b/>
          <w:bCs/>
          <w:rtl w:val="true"/>
        </w:rPr>
        <w:t>באישום שלישי</w:t>
      </w:r>
      <w:r>
        <w:rPr>
          <w:rtl w:val="true"/>
        </w:rPr>
        <w:t>,</w:t>
      </w:r>
      <w:r>
        <w:rPr>
          <w:b/>
          <w:bCs/>
          <w:rtl w:val="true"/>
        </w:rPr>
        <w:t xml:space="preserve"> </w:t>
      </w:r>
      <w:r>
        <w:rPr>
          <w:rtl w:val="true"/>
        </w:rPr>
        <w:t xml:space="preserve">בתאריך </w:t>
      </w:r>
      <w:r>
        <w:rPr/>
        <w:t>22.01.18</w:t>
      </w:r>
      <w:r>
        <w:rPr>
          <w:rtl w:val="true"/>
        </w:rPr>
        <w:t xml:space="preserve"> </w:t>
      </w:r>
      <w:r>
        <w:rPr>
          <w:rtl w:val="true"/>
        </w:rPr>
        <w:t xml:space="preserve">או בסמוך לכך פגש הנאשם </w:t>
      </w:r>
      <w:r>
        <w:rPr/>
        <w:t>1</w:t>
      </w:r>
      <w:r>
        <w:rPr>
          <w:rtl w:val="true"/>
        </w:rPr>
        <w:t xml:space="preserve"> </w:t>
      </w:r>
      <w:r>
        <w:rPr>
          <w:rtl w:val="true"/>
        </w:rPr>
        <w:t>את זוהיר בעזה</w:t>
      </w:r>
      <w:r>
        <w:rPr>
          <w:rtl w:val="true"/>
        </w:rPr>
        <w:t xml:space="preserve">, </w:t>
      </w:r>
      <w:r>
        <w:rPr>
          <w:rtl w:val="true"/>
        </w:rPr>
        <w:t xml:space="preserve">וקיבל ממנו מזוודה ובה </w:t>
      </w:r>
      <w:r>
        <w:rPr/>
        <w:t>14</w:t>
      </w:r>
      <w:r>
        <w:rPr>
          <w:rtl w:val="true"/>
        </w:rPr>
        <w:t xml:space="preserve"> </w:t>
      </w:r>
      <w:r>
        <w:rPr>
          <w:rtl w:val="true"/>
        </w:rPr>
        <w:t>אקדחים</w:t>
      </w:r>
      <w:r>
        <w:rPr>
          <w:rtl w:val="true"/>
        </w:rPr>
        <w:t xml:space="preserve">, </w:t>
      </w:r>
      <w:r>
        <w:rPr>
          <w:rtl w:val="true"/>
        </w:rPr>
        <w:t>מסוג שאינו ידוע למאשימה</w:t>
      </w:r>
      <w:r>
        <w:rPr>
          <w:rtl w:val="true"/>
        </w:rPr>
        <w:t xml:space="preserve">, </w:t>
      </w:r>
      <w:r>
        <w:rPr>
          <w:rtl w:val="true"/>
        </w:rPr>
        <w:t xml:space="preserve">כשהם עטופים בניילון </w:t>
      </w:r>
      <w:r>
        <w:rPr>
          <w:rtl w:val="true"/>
        </w:rPr>
        <w:t>(</w:t>
      </w:r>
      <w:r>
        <w:rPr>
          <w:rtl w:val="true"/>
        </w:rPr>
        <w:t>להלן</w:t>
      </w:r>
      <w:r>
        <w:rPr>
          <w:rtl w:val="true"/>
        </w:rPr>
        <w:t>: "</w:t>
      </w:r>
      <w:r>
        <w:rPr>
          <w:b/>
          <w:b/>
          <w:bCs/>
          <w:rtl w:val="true"/>
        </w:rPr>
        <w:t>המזוודה</w:t>
      </w:r>
      <w:r>
        <w:rPr>
          <w:rtl w:val="true"/>
        </w:rPr>
        <w:t xml:space="preserve">"), </w:t>
      </w:r>
      <w:r>
        <w:rPr>
          <w:rtl w:val="true"/>
        </w:rPr>
        <w:t xml:space="preserve">וכשהנאשם </w:t>
      </w:r>
      <w:r>
        <w:rPr/>
        <w:t>1</w:t>
      </w:r>
      <w:r>
        <w:rPr>
          <w:rtl w:val="true"/>
        </w:rPr>
        <w:t xml:space="preserve"> </w:t>
      </w:r>
      <w:r>
        <w:rPr>
          <w:rtl w:val="true"/>
        </w:rPr>
        <w:t>יודע שמדובר בכלי נשק</w:t>
      </w:r>
      <w:r>
        <w:rPr>
          <w:rtl w:val="true"/>
        </w:rPr>
        <w:t xml:space="preserve">, </w:t>
      </w:r>
      <w:r>
        <w:rPr>
          <w:rtl w:val="true"/>
        </w:rPr>
        <w:t>ואין לו היתר או רישיון להחזיקם</w:t>
      </w:r>
      <w:r>
        <w:rPr>
          <w:rtl w:val="true"/>
        </w:rPr>
        <w:t xml:space="preserve">. </w:t>
      </w:r>
      <w:r>
        <w:rPr>
          <w:rtl w:val="true"/>
        </w:rPr>
        <w:t>זוהיר הכניס את המזוודה לתא המטען של הרכב הקונסולרי</w:t>
      </w:r>
      <w:r>
        <w:rPr>
          <w:rtl w:val="true"/>
        </w:rPr>
        <w:t xml:space="preserve">, </w:t>
      </w:r>
      <w:r>
        <w:rPr>
          <w:rtl w:val="true"/>
        </w:rPr>
        <w:t xml:space="preserve">בידיעת הנאשם </w:t>
      </w:r>
      <w:r>
        <w:rPr/>
        <w:t>1</w:t>
      </w:r>
      <w:r>
        <w:rPr>
          <w:rtl w:val="true"/>
        </w:rPr>
        <w:t xml:space="preserve">, </w:t>
      </w:r>
      <w:r>
        <w:rPr>
          <w:rtl w:val="true"/>
        </w:rPr>
        <w:t xml:space="preserve">והנאשם </w:t>
      </w:r>
      <w:r>
        <w:rPr/>
        <w:t>1</w:t>
      </w:r>
      <w:r>
        <w:rPr>
          <w:rtl w:val="true"/>
        </w:rPr>
        <w:t xml:space="preserve"> </w:t>
      </w:r>
      <w:r>
        <w:rPr>
          <w:rtl w:val="true"/>
        </w:rPr>
        <w:t>הגיע למעבר ארז כשהוא נוהג ברכב הקונסולרי והמזוודה ברשותו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במהלך הבידוק הביטחוני של הרכב הקונסולרי במעבר ארז</w:t>
      </w:r>
      <w:r>
        <w:rPr>
          <w:rtl w:val="true"/>
        </w:rPr>
        <w:t xml:space="preserve">, </w:t>
      </w:r>
      <w:r>
        <w:rPr>
          <w:rtl w:val="true"/>
        </w:rPr>
        <w:t xml:space="preserve">הנאשם </w:t>
      </w:r>
      <w:r>
        <w:rPr/>
        <w:t>1</w:t>
      </w:r>
      <w:r>
        <w:rPr>
          <w:rtl w:val="true"/>
        </w:rPr>
        <w:t xml:space="preserve"> </w:t>
      </w:r>
      <w:r>
        <w:rPr>
          <w:rtl w:val="true"/>
        </w:rPr>
        <w:t>נשאל על ידי המאבטח האם כל התיקים אותם הוא מעביר ברכב הקונסולרי הם תיקים השייכים לו ולנוסע איתו</w:t>
      </w:r>
      <w:r>
        <w:rPr>
          <w:rtl w:val="true"/>
        </w:rPr>
        <w:t xml:space="preserve">, </w:t>
      </w:r>
      <w:r>
        <w:rPr>
          <w:rtl w:val="true"/>
        </w:rPr>
        <w:t>או במילים דומות לאלה</w:t>
      </w:r>
      <w:r>
        <w:rPr>
          <w:rtl w:val="true"/>
        </w:rPr>
        <w:t xml:space="preserve">, </w:t>
      </w:r>
      <w:r>
        <w:rPr>
          <w:rtl w:val="true"/>
        </w:rPr>
        <w:t xml:space="preserve">והאנשם </w:t>
      </w:r>
      <w:r>
        <w:rPr/>
        <w:t>1</w:t>
      </w:r>
      <w:r>
        <w:rPr>
          <w:rtl w:val="true"/>
        </w:rPr>
        <w:t xml:space="preserve"> </w:t>
      </w:r>
      <w:r>
        <w:rPr>
          <w:rtl w:val="true"/>
        </w:rPr>
        <w:t>השיב בחיוב</w:t>
      </w:r>
      <w:r>
        <w:rPr>
          <w:rtl w:val="true"/>
        </w:rPr>
        <w:t xml:space="preserve">, </w:t>
      </w:r>
      <w:r>
        <w:rPr>
          <w:rtl w:val="true"/>
        </w:rPr>
        <w:t>וכן טען כי אין ברשותו נשק</w:t>
      </w:r>
      <w:r>
        <w:rPr>
          <w:rtl w:val="true"/>
        </w:rPr>
        <w:t xml:space="preserve">, </w:t>
      </w:r>
      <w:r>
        <w:rPr>
          <w:rtl w:val="true"/>
        </w:rPr>
        <w:t>דברים שידע שאינם אמת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בהסתמך על מצג השווא שהוצג על ידי הנאשם </w:t>
      </w:r>
      <w:r>
        <w:rPr/>
        <w:t>1</w:t>
      </w:r>
      <w:r>
        <w:rPr>
          <w:rtl w:val="true"/>
        </w:rPr>
        <w:t xml:space="preserve"> </w:t>
      </w:r>
      <w:r>
        <w:rPr>
          <w:rtl w:val="true"/>
        </w:rPr>
        <w:t>בפני המאבטח</w:t>
      </w:r>
      <w:r>
        <w:rPr>
          <w:rtl w:val="true"/>
        </w:rPr>
        <w:t xml:space="preserve">, </w:t>
      </w:r>
      <w:r>
        <w:rPr>
          <w:rtl w:val="true"/>
        </w:rPr>
        <w:t xml:space="preserve">הנאשם </w:t>
      </w:r>
      <w:r>
        <w:rPr/>
        <w:t>1</w:t>
      </w:r>
      <w:r>
        <w:rPr>
          <w:rtl w:val="true"/>
        </w:rPr>
        <w:t xml:space="preserve"> </w:t>
      </w:r>
      <w:r>
        <w:rPr>
          <w:rtl w:val="true"/>
        </w:rPr>
        <w:t>יצא מעזה ועבר את מעבר ארז ללא בדיקה פיזית בתוך הרכב הקונסולרי</w:t>
      </w:r>
      <w:r>
        <w:rPr>
          <w:rtl w:val="true"/>
        </w:rPr>
        <w:t xml:space="preserve">, </w:t>
      </w:r>
      <w:r>
        <w:rPr>
          <w:rtl w:val="true"/>
        </w:rPr>
        <w:t>והביא את המזוודה לישראל</w:t>
      </w:r>
      <w:r>
        <w:rPr>
          <w:rtl w:val="true"/>
        </w:rPr>
        <w:t xml:space="preserve">. </w:t>
      </w:r>
      <w:r>
        <w:rPr>
          <w:rtl w:val="true"/>
        </w:rPr>
        <w:t>בהגיעו לקונסוליה</w:t>
      </w:r>
      <w:r>
        <w:rPr>
          <w:rtl w:val="true"/>
        </w:rPr>
        <w:t xml:space="preserve">, </w:t>
      </w:r>
      <w:r>
        <w:rPr>
          <w:rtl w:val="true"/>
        </w:rPr>
        <w:t xml:space="preserve">הנאשם </w:t>
      </w:r>
      <w:r>
        <w:rPr/>
        <w:t>1</w:t>
      </w:r>
      <w:r>
        <w:rPr>
          <w:rtl w:val="true"/>
        </w:rPr>
        <w:t xml:space="preserve"> </w:t>
      </w:r>
      <w:r>
        <w:rPr>
          <w:rtl w:val="true"/>
        </w:rPr>
        <w:t>העביר את המזוודה לרכב הסיטרואן</w:t>
      </w:r>
      <w:r>
        <w:rPr>
          <w:rtl w:val="true"/>
        </w:rPr>
        <w:t xml:space="preserve">, </w:t>
      </w:r>
      <w:r>
        <w:rPr>
          <w:rtl w:val="true"/>
        </w:rPr>
        <w:t>נסע בו למחסום</w:t>
      </w:r>
      <w:r>
        <w:rPr>
          <w:rtl w:val="true"/>
        </w:rPr>
        <w:t xml:space="preserve">, </w:t>
      </w:r>
      <w:r>
        <w:rPr>
          <w:rtl w:val="true"/>
        </w:rPr>
        <w:t>אותו עבר ללא בדיקה והגיע לרמאללה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ברמאללה הנאשם </w:t>
      </w:r>
      <w:r>
        <w:rPr/>
        <w:t>1</w:t>
      </w:r>
      <w:r>
        <w:rPr>
          <w:rtl w:val="true"/>
        </w:rPr>
        <w:t xml:space="preserve"> </w:t>
      </w:r>
      <w:r>
        <w:rPr>
          <w:rtl w:val="true"/>
        </w:rPr>
        <w:t>פגש את אחמד</w:t>
      </w:r>
      <w:r>
        <w:rPr>
          <w:rtl w:val="true"/>
        </w:rPr>
        <w:t xml:space="preserve">, </w:t>
      </w:r>
      <w:r>
        <w:rPr>
          <w:rtl w:val="true"/>
        </w:rPr>
        <w:t xml:space="preserve">אשר הוביל את הנאשם </w:t>
      </w:r>
      <w:r>
        <w:rPr/>
        <w:t>1</w:t>
      </w:r>
      <w:r>
        <w:rPr>
          <w:rtl w:val="true"/>
        </w:rPr>
        <w:t xml:space="preserve"> </w:t>
      </w:r>
      <w:r>
        <w:rPr>
          <w:rtl w:val="true"/>
        </w:rPr>
        <w:t>בנסיעה אחריו עד לבנק הפלסטיני</w:t>
      </w:r>
      <w:r>
        <w:rPr>
          <w:rtl w:val="true"/>
        </w:rPr>
        <w:t xml:space="preserve">, </w:t>
      </w:r>
      <w:r>
        <w:rPr>
          <w:rtl w:val="true"/>
        </w:rPr>
        <w:t xml:space="preserve">שם הנאשם </w:t>
      </w:r>
      <w:r>
        <w:rPr/>
        <w:t>1</w:t>
      </w:r>
      <w:r>
        <w:rPr>
          <w:rtl w:val="true"/>
        </w:rPr>
        <w:t xml:space="preserve"> </w:t>
      </w:r>
      <w:r>
        <w:rPr>
          <w:rtl w:val="true"/>
        </w:rPr>
        <w:t>פגש את מחמד כתות ומסר למחמד כתות את המזוודה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במעשיו אלה</w:t>
      </w:r>
      <w:r>
        <w:rPr>
          <w:rtl w:val="true"/>
        </w:rPr>
        <w:t xml:space="preserve">, </w:t>
      </w:r>
      <w:r>
        <w:rPr>
          <w:rtl w:val="true"/>
        </w:rPr>
        <w:t xml:space="preserve">נאשם </w:t>
      </w:r>
      <w:r>
        <w:rPr/>
        <w:t>1</w:t>
      </w:r>
      <w:r>
        <w:rPr>
          <w:rtl w:val="true"/>
        </w:rPr>
        <w:t xml:space="preserve"> </w:t>
      </w:r>
      <w:r>
        <w:rPr>
          <w:rtl w:val="true"/>
        </w:rPr>
        <w:t>בצוותא חדא  עם אחרים</w:t>
      </w:r>
      <w:r>
        <w:rPr>
          <w:rtl w:val="true"/>
        </w:rPr>
        <w:t xml:space="preserve">, </w:t>
      </w:r>
      <w:r>
        <w:rPr>
          <w:rtl w:val="true"/>
        </w:rPr>
        <w:t>הוביל נשק בלא רשות על פי דין לנשיאתו או להובלתו</w:t>
      </w:r>
      <w:r>
        <w:rPr>
          <w:rtl w:val="true"/>
        </w:rPr>
        <w:t xml:space="preserve">, </w:t>
      </w:r>
      <w:r>
        <w:rPr>
          <w:rtl w:val="true"/>
        </w:rPr>
        <w:t>ועשה זאת תוך ניצול העובדה שבתוך הרכב הקונסולרי בו נהג</w:t>
      </w:r>
      <w:r>
        <w:rPr>
          <w:rtl w:val="true"/>
        </w:rPr>
        <w:t xml:space="preserve">, </w:t>
      </w:r>
      <w:r>
        <w:rPr>
          <w:rtl w:val="true"/>
        </w:rPr>
        <w:t>לא נערכה בדיקה פיזית</w:t>
      </w:r>
      <w:r>
        <w:rPr>
          <w:rtl w:val="true"/>
        </w:rPr>
        <w:t xml:space="preserve">. </w:t>
      </w:r>
      <w:r>
        <w:rPr>
          <w:rtl w:val="true"/>
        </w:rPr>
        <w:t>כמו כן</w:t>
      </w:r>
      <w:r>
        <w:rPr>
          <w:rtl w:val="true"/>
        </w:rPr>
        <w:t xml:space="preserve">,  </w:t>
      </w:r>
      <w:r>
        <w:rPr>
          <w:rtl w:val="true"/>
        </w:rPr>
        <w:t xml:space="preserve">הנאשם  </w:t>
      </w:r>
      <w:r>
        <w:rPr/>
        <w:t>1</w:t>
      </w:r>
      <w:r>
        <w:rPr>
          <w:rtl w:val="true"/>
        </w:rPr>
        <w:t xml:space="preserve"> </w:t>
      </w:r>
      <w:r>
        <w:rPr>
          <w:rtl w:val="true"/>
        </w:rPr>
        <w:t>קיבל דבר במרמה בנסיבות מחמירות שהן ניצול המעמד הקונסולרי</w:t>
      </w:r>
      <w:r>
        <w:rPr>
          <w:rtl w:val="true"/>
        </w:rPr>
        <w:t xml:space="preserve">, </w:t>
      </w:r>
      <w:r>
        <w:rPr>
          <w:rtl w:val="true"/>
        </w:rPr>
        <w:t>דרך מעבר הגבול בין ישראל לעזה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עד כאן עובדות כתב האישום בהן הודה הנאשם והיוו את הבסיס להרשעתו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להשלמת התמונה</w:t>
      </w:r>
      <w:r>
        <w:rPr>
          <w:rtl w:val="true"/>
        </w:rPr>
        <w:t xml:space="preserve">, </w:t>
      </w:r>
      <w:r>
        <w:rPr>
          <w:rtl w:val="true"/>
        </w:rPr>
        <w:t>יצוין כי כתב האישום המתוקן כולל סעיפי עובדות ואישומים נוספים שבהם הנאשם לא הודה</w:t>
      </w:r>
      <w:r>
        <w:rPr>
          <w:rtl w:val="true"/>
        </w:rPr>
        <w:t xml:space="preserve">. </w:t>
      </w:r>
      <w:r>
        <w:rPr>
          <w:rtl w:val="true"/>
        </w:rPr>
        <w:t xml:space="preserve">המאשימה כאמור בפרוטוקול הדיון מיום </w:t>
      </w:r>
      <w:r>
        <w:rPr/>
        <w:t>24.03.19</w:t>
      </w:r>
      <w:r>
        <w:rPr>
          <w:rtl w:val="true"/>
        </w:rPr>
        <w:t xml:space="preserve">, </w:t>
      </w:r>
      <w:r>
        <w:rPr>
          <w:rtl w:val="true"/>
        </w:rPr>
        <w:t>הודיעה כי היא אינה עומדת על הוכחתם של אותם אישומים וסעיפי עובדות</w:t>
      </w:r>
      <w:r>
        <w:rPr>
          <w:rtl w:val="true"/>
        </w:rPr>
        <w:t xml:space="preserve">, </w:t>
      </w:r>
      <w:r>
        <w:rPr>
          <w:rtl w:val="true"/>
        </w:rPr>
        <w:t>שלאחר התיקון אינם מיוחסים לנאשם</w:t>
      </w:r>
      <w:r>
        <w:rPr>
          <w:rtl w:val="true"/>
        </w:rPr>
        <w:t xml:space="preserve">, </w:t>
      </w:r>
      <w:r>
        <w:rPr>
          <w:rtl w:val="true"/>
        </w:rPr>
        <w:t>ותסתפק רק בחלק שבו זה הודה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במסגרת ההסדר</w:t>
      </w:r>
      <w:r>
        <w:rPr>
          <w:rtl w:val="true"/>
        </w:rPr>
        <w:t xml:space="preserve">, </w:t>
      </w:r>
      <w:r>
        <w:rPr>
          <w:rtl w:val="true"/>
        </w:rPr>
        <w:t xml:space="preserve">הצדדים הגיעו להסכמה גם לעניין העונש ועתרו במשותף שיושתו על הנאשם </w:t>
      </w:r>
      <w:r>
        <w:rPr/>
        <w:t>7</w:t>
      </w:r>
      <w:r>
        <w:rPr>
          <w:rtl w:val="true"/>
        </w:rPr>
        <w:t xml:space="preserve"> </w:t>
      </w:r>
      <w:r>
        <w:rPr>
          <w:rtl w:val="true"/>
        </w:rPr>
        <w:t>שנים מאסר בפועל שימנו מיום מעצרו</w:t>
      </w:r>
      <w:r>
        <w:rPr>
          <w:rtl w:val="true"/>
        </w:rPr>
        <w:t xml:space="preserve">, </w:t>
      </w:r>
      <w:r>
        <w:rPr>
          <w:rtl w:val="true"/>
        </w:rPr>
        <w:t>מאסר מותנה לשיקול דעת בית משפט וקנס שלגבי גובהו כל צד יוכל לטעון באופן חופשי</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rPr>
      </w:pPr>
      <w:r>
        <w:rPr>
          <w:b/>
          <w:b/>
          <w:bCs/>
          <w:rtl w:val="true"/>
        </w:rPr>
        <w:t>טיעוני הצדדים</w:t>
      </w:r>
      <w:r>
        <w:rPr>
          <w:b/>
          <w:bCs/>
          <w:rtl w:val="true"/>
        </w:rPr>
        <w:t>:</w:t>
      </w:r>
    </w:p>
    <w:p>
      <w:pPr>
        <w:pStyle w:val="Normal"/>
        <w:spacing w:lineRule="auto" w:line="360"/>
        <w:ind w:end="0"/>
        <w:jc w:val="both"/>
        <w:rPr/>
      </w:pPr>
      <w:r>
        <w:rPr>
          <w:rtl w:val="true"/>
        </w:rPr>
        <w:t>בא כוח המאשימה במסגרת טיעוניו לעונש ביקש מבית משפט לכבד את ההסדר</w:t>
      </w:r>
      <w:r>
        <w:rPr>
          <w:rtl w:val="true"/>
        </w:rPr>
        <w:t xml:space="preserve">. </w:t>
      </w:r>
      <w:r>
        <w:rPr>
          <w:rtl w:val="true"/>
        </w:rPr>
        <w:t>לדבריו</w:t>
      </w:r>
      <w:r>
        <w:rPr>
          <w:rtl w:val="true"/>
        </w:rPr>
        <w:t xml:space="preserve">, </w:t>
      </w:r>
      <w:r>
        <w:rPr>
          <w:rtl w:val="true"/>
        </w:rPr>
        <w:t>הגם שמדובר בעונש שיש בו להקל עם הנאשם הוא מצוי בגדרי הענישה הנוהגת גם אם בצד הנמוך שלה</w:t>
      </w:r>
      <w:r>
        <w:rPr>
          <w:rtl w:val="true"/>
        </w:rPr>
        <w:t xml:space="preserve">. </w:t>
      </w:r>
      <w:r>
        <w:rPr>
          <w:rtl w:val="true"/>
        </w:rPr>
        <w:t>הלה פירט שהסדר הטיעון הושג לאחר שתי ישיבות גישור שנערכו בפני כבוד סגן הנשיאה</w:t>
      </w:r>
      <w:r>
        <w:rPr>
          <w:rtl w:val="true"/>
        </w:rPr>
        <w:t xml:space="preserve">. </w:t>
      </w:r>
      <w:r>
        <w:rPr>
          <w:rtl w:val="true"/>
        </w:rPr>
        <w:t>הנאשם חסך זמן שיפוטי יקר</w:t>
      </w:r>
      <w:r>
        <w:rPr>
          <w:rtl w:val="true"/>
        </w:rPr>
        <w:t xml:space="preserve">, </w:t>
      </w:r>
      <w:r>
        <w:rPr>
          <w:rtl w:val="true"/>
        </w:rPr>
        <w:t>לרבות עדויות של אנשי שב</w:t>
      </w:r>
      <w:r>
        <w:rPr>
          <w:rtl w:val="true"/>
        </w:rPr>
        <w:t>"</w:t>
      </w:r>
      <w:r>
        <w:rPr>
          <w:rtl w:val="true"/>
        </w:rPr>
        <w:t>כ</w:t>
      </w:r>
      <w:r>
        <w:rPr>
          <w:rtl w:val="true"/>
        </w:rPr>
        <w:t xml:space="preserve">. </w:t>
      </w:r>
      <w:r>
        <w:rPr>
          <w:rtl w:val="true"/>
        </w:rPr>
        <w:t xml:space="preserve">הנאשם </w:t>
      </w:r>
      <w:r>
        <w:rPr/>
        <w:t>1</w:t>
      </w:r>
      <w:r>
        <w:rPr>
          <w:rtl w:val="true"/>
        </w:rPr>
        <w:t xml:space="preserve"> </w:t>
      </w:r>
      <w:r>
        <w:rPr>
          <w:rtl w:val="true"/>
        </w:rPr>
        <w:t>צעיר</w:t>
      </w:r>
      <w:r>
        <w:rPr>
          <w:rtl w:val="true"/>
        </w:rPr>
        <w:t xml:space="preserve">, </w:t>
      </w:r>
      <w:r>
        <w:rPr>
          <w:rtl w:val="true"/>
        </w:rPr>
        <w:t>נעדר עבר פלילי</w:t>
      </w:r>
      <w:r>
        <w:rPr>
          <w:rtl w:val="true"/>
        </w:rPr>
        <w:t xml:space="preserve">. </w:t>
      </w:r>
      <w:r>
        <w:rPr>
          <w:rtl w:val="true"/>
        </w:rPr>
        <w:t>נטען שיש בעונש המוסכם להעביר מסר ברור בדבר החומרה הגלומה במעשיו</w:t>
      </w:r>
      <w:r>
        <w:rPr>
          <w:rtl w:val="true"/>
        </w:rPr>
        <w:t xml:space="preserve">, </w:t>
      </w:r>
      <w:r>
        <w:rPr>
          <w:rtl w:val="true"/>
        </w:rPr>
        <w:t>בפרט בשים לב לכך שזה ניצל את מעמדו כעובד קונסוליה לייבא נשקים מרצועת עזה</w:t>
      </w:r>
      <w:r>
        <w:rPr>
          <w:rtl w:val="true"/>
        </w:rPr>
        <w:t xml:space="preserve">. </w:t>
      </w:r>
      <w:r>
        <w:rPr>
          <w:rtl w:val="true"/>
        </w:rPr>
        <w:t xml:space="preserve">התובע עמד על התמורה הגבוהה שקיבל הנאשם </w:t>
      </w:r>
      <w:r>
        <w:rPr/>
        <w:t>1</w:t>
      </w:r>
      <w:r>
        <w:rPr>
          <w:rtl w:val="true"/>
        </w:rPr>
        <w:t xml:space="preserve"> </w:t>
      </w:r>
      <w:r>
        <w:rPr>
          <w:rtl w:val="true"/>
        </w:rPr>
        <w:t>בגין מעשיו</w:t>
      </w:r>
      <w:r>
        <w:rPr>
          <w:rtl w:val="true"/>
        </w:rPr>
        <w:t xml:space="preserve">, </w:t>
      </w:r>
      <w:r>
        <w:rPr>
          <w:rtl w:val="true"/>
        </w:rPr>
        <w:t xml:space="preserve">ומגיעה לכדי </w:t>
      </w:r>
      <w:r>
        <w:rPr/>
        <w:t>26,000</w:t>
      </w:r>
      <w:r>
        <w:rPr>
          <w:rtl w:val="true"/>
        </w:rPr>
        <w:t xml:space="preserve"> ₪. </w:t>
      </w:r>
      <w:r>
        <w:rPr>
          <w:rtl w:val="true"/>
        </w:rPr>
        <w:t>נגזרת מכך</w:t>
      </w:r>
      <w:r>
        <w:rPr>
          <w:rtl w:val="true"/>
        </w:rPr>
        <w:t xml:space="preserve">, </w:t>
      </w:r>
      <w:r>
        <w:rPr>
          <w:rtl w:val="true"/>
        </w:rPr>
        <w:t>עתר להשתתתו של קנס גבוה ומרתיע שיעמוד בהלימה עם קנסות שנגזרו על מעורבים אחרים בפרשה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בא כוח הנאשם</w:t>
      </w:r>
      <w:r>
        <w:rPr>
          <w:rtl w:val="true"/>
        </w:rPr>
        <w:t xml:space="preserve">, </w:t>
      </w:r>
      <w:r>
        <w:rPr>
          <w:rtl w:val="true"/>
        </w:rPr>
        <w:t>עתר אף הוא מבית המשפט לכבד את ההסדר</w:t>
      </w:r>
      <w:r>
        <w:rPr>
          <w:rtl w:val="true"/>
        </w:rPr>
        <w:t xml:space="preserve">. </w:t>
      </w:r>
      <w:r>
        <w:rPr>
          <w:rtl w:val="true"/>
        </w:rPr>
        <w:t xml:space="preserve">נטען שחלקו של נאשם </w:t>
      </w:r>
      <w:r>
        <w:rPr/>
        <w:t>1</w:t>
      </w:r>
      <w:r>
        <w:rPr>
          <w:rtl w:val="true"/>
        </w:rPr>
        <w:t xml:space="preserve"> </w:t>
      </w:r>
      <w:r>
        <w:rPr>
          <w:rtl w:val="true"/>
        </w:rPr>
        <w:t>לא עלה על חלקם של מעורבים אחרים בפרשה ואף היה נמוך מהם</w:t>
      </w:r>
      <w:r>
        <w:rPr>
          <w:rtl w:val="true"/>
        </w:rPr>
        <w:t xml:space="preserve">. </w:t>
      </w:r>
      <w:r>
        <w:rPr>
          <w:rtl w:val="true"/>
        </w:rPr>
        <w:t xml:space="preserve">נטען שהנאשם </w:t>
      </w:r>
      <w:r>
        <w:rPr/>
        <w:t>1</w:t>
      </w:r>
      <w:r>
        <w:rPr>
          <w:rtl w:val="true"/>
        </w:rPr>
        <w:t xml:space="preserve"> </w:t>
      </w:r>
      <w:r>
        <w:rPr>
          <w:rtl w:val="true"/>
        </w:rPr>
        <w:t>לא היה זה שיזם את העברת הנשקים</w:t>
      </w:r>
      <w:r>
        <w:rPr>
          <w:rtl w:val="true"/>
        </w:rPr>
        <w:t xml:space="preserve">, </w:t>
      </w:r>
      <w:r>
        <w:rPr>
          <w:rtl w:val="true"/>
        </w:rPr>
        <w:t>לא היה זה שהביא את הנשקים לקונסוליה הצרפתית בעזה וכך גם לא נטל כל חלק בסחר שנעשה בנשקים בהמשכם של דברים</w:t>
      </w:r>
      <w:r>
        <w:rPr>
          <w:rtl w:val="true"/>
        </w:rPr>
        <w:t xml:space="preserve">. </w:t>
      </w:r>
      <w:r>
        <w:rPr>
          <w:rtl w:val="true"/>
        </w:rPr>
        <w:t>הנאשם לא קיבל סכומי כסף גדולים ממכירת הנשקים וממילא לא היה בעל עניין במכירת הנשק או בהובלתם</w:t>
      </w:r>
      <w:r>
        <w:rPr>
          <w:rtl w:val="true"/>
        </w:rPr>
        <w:t xml:space="preserve">. </w:t>
      </w:r>
      <w:r>
        <w:rPr>
          <w:rtl w:val="true"/>
        </w:rPr>
        <w:t>לטענת הסנגור</w:t>
      </w:r>
      <w:r>
        <w:rPr>
          <w:rtl w:val="true"/>
        </w:rPr>
        <w:t xml:space="preserve">, </w:t>
      </w:r>
      <w:r>
        <w:rPr>
          <w:rtl w:val="true"/>
        </w:rPr>
        <w:t>למעט סכום הכסף שקיבל בגין חלקו</w:t>
      </w:r>
      <w:r>
        <w:rPr>
          <w:rtl w:val="true"/>
        </w:rPr>
        <w:t xml:space="preserve">, </w:t>
      </w:r>
      <w:r>
        <w:rPr>
          <w:rtl w:val="true"/>
        </w:rPr>
        <w:t>שאף הוא אינו משמעותי</w:t>
      </w:r>
      <w:r>
        <w:rPr>
          <w:rtl w:val="true"/>
        </w:rPr>
        <w:t xml:space="preserve">, </w:t>
      </w:r>
      <w:r>
        <w:rPr>
          <w:rtl w:val="true"/>
        </w:rPr>
        <w:t>עומדים ברקע מעשיו של הנאשם הקשרים שנרקמו בינו לבין זוהיר ומאבטחים אחרים בקונסוליה הצרפתית בעזה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הסנגור הרחיב בנוגע למאפייניו של הנאשם והרקע ממנו הגיע</w:t>
      </w:r>
      <w:r>
        <w:rPr>
          <w:rtl w:val="true"/>
        </w:rPr>
        <w:t xml:space="preserve">. </w:t>
      </w:r>
      <w:r>
        <w:rPr>
          <w:rtl w:val="true"/>
        </w:rPr>
        <w:t>בהקשר לכך</w:t>
      </w:r>
      <w:r>
        <w:rPr>
          <w:rtl w:val="true"/>
        </w:rPr>
        <w:t xml:space="preserve">, </w:t>
      </w:r>
      <w:r>
        <w:rPr>
          <w:rtl w:val="true"/>
        </w:rPr>
        <w:t>ובתמצית</w:t>
      </w:r>
      <w:r>
        <w:rPr>
          <w:rtl w:val="true"/>
        </w:rPr>
        <w:t xml:space="preserve">, </w:t>
      </w:r>
      <w:r>
        <w:rPr>
          <w:rtl w:val="true"/>
        </w:rPr>
        <w:t>פורט כי מדובר בנאשם שגדל בכפר קטן בצרפת</w:t>
      </w:r>
      <w:r>
        <w:rPr>
          <w:rtl w:val="true"/>
        </w:rPr>
        <w:t xml:space="preserve">, </w:t>
      </w:r>
      <w:r>
        <w:rPr>
          <w:rtl w:val="true"/>
        </w:rPr>
        <w:t>שחלומו היה להיות כבאי ולשרת את הקהילה בה הוא חי</w:t>
      </w:r>
      <w:r>
        <w:rPr>
          <w:rtl w:val="true"/>
        </w:rPr>
        <w:t xml:space="preserve">. </w:t>
      </w:r>
      <w:r>
        <w:rPr>
          <w:rtl w:val="true"/>
        </w:rPr>
        <w:t>הנאשם אף התנדב תקופה מסוימת ככבאי</w:t>
      </w:r>
      <w:r>
        <w:rPr>
          <w:rtl w:val="true"/>
        </w:rPr>
        <w:t xml:space="preserve">, </w:t>
      </w:r>
      <w:r>
        <w:rPr>
          <w:rtl w:val="true"/>
        </w:rPr>
        <w:t>עד אשר הוצע לו על ידי חבר לעבוד בקונסוליה הצרפתית בירושלים</w:t>
      </w:r>
      <w:r>
        <w:rPr>
          <w:rtl w:val="true"/>
        </w:rPr>
        <w:t xml:space="preserve">, </w:t>
      </w:r>
      <w:r>
        <w:rPr>
          <w:rtl w:val="true"/>
        </w:rPr>
        <w:t>הצעה אותה תפס כהזדמנות לצאת מהכפר בו חי</w:t>
      </w:r>
      <w:r>
        <w:rPr>
          <w:rtl w:val="true"/>
        </w:rPr>
        <w:t xml:space="preserve">. </w:t>
      </w:r>
      <w:r>
        <w:rPr>
          <w:rtl w:val="true"/>
        </w:rPr>
        <w:t>הנאשם נשלח לשרת בקונסוליה בירושלים</w:t>
      </w:r>
      <w:r>
        <w:rPr>
          <w:rtl w:val="true"/>
        </w:rPr>
        <w:t xml:space="preserve">, </w:t>
      </w:r>
      <w:r>
        <w:rPr>
          <w:rtl w:val="true"/>
        </w:rPr>
        <w:t>כאשר חלק מתפקידו כלל נסיעות הלוך וחזור מספר פעמים בשבוע לקונסוליה הצרפתית בעזה</w:t>
      </w:r>
      <w:r>
        <w:rPr>
          <w:rtl w:val="true"/>
        </w:rPr>
        <w:t xml:space="preserve">. </w:t>
      </w:r>
      <w:r>
        <w:rPr>
          <w:rtl w:val="true"/>
        </w:rPr>
        <w:t>במהלך נסיעותיו לרצועת עזה היה עליו להמתין שעות רבות בחדר המאבטחים שקיבלו אותו בזרועות פתוחות</w:t>
      </w:r>
      <w:r>
        <w:rPr>
          <w:rtl w:val="true"/>
        </w:rPr>
        <w:t xml:space="preserve">, </w:t>
      </w:r>
      <w:r>
        <w:rPr>
          <w:rtl w:val="true"/>
        </w:rPr>
        <w:t>ובתוך כך החלו להיווצר ביניהם יחסים שבהמשכם ותוך ניצולם</w:t>
      </w:r>
      <w:r>
        <w:rPr>
          <w:rtl w:val="true"/>
        </w:rPr>
        <w:t xml:space="preserve">, </w:t>
      </w:r>
      <w:r>
        <w:rPr>
          <w:rtl w:val="true"/>
        </w:rPr>
        <w:t>זוהיר ביקש ממנו להעביר את אותם נשקים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נטען כי לנאשם לא נערכה הכשרה והכנה ראויים לאתגרים שזימנה לו עבודתו</w:t>
      </w:r>
      <w:r>
        <w:rPr>
          <w:rtl w:val="true"/>
        </w:rPr>
        <w:t xml:space="preserve">. </w:t>
      </w:r>
      <w:r>
        <w:rPr>
          <w:rtl w:val="true"/>
        </w:rPr>
        <w:t>הנאשם לא הבין את המשמעות של עבודה ברצועת עזה</w:t>
      </w:r>
      <w:r>
        <w:rPr>
          <w:rtl w:val="true"/>
        </w:rPr>
        <w:t xml:space="preserve">, </w:t>
      </w:r>
      <w:r>
        <w:rPr>
          <w:rtl w:val="true"/>
        </w:rPr>
        <w:t>אחד מהמקומות המסוכנים בעולם וכזה שמרבית האוכלוסייה בו סובלת ממצוקה קשה</w:t>
      </w:r>
      <w:r>
        <w:rPr>
          <w:rtl w:val="true"/>
        </w:rPr>
        <w:t xml:space="preserve">. </w:t>
      </w:r>
      <w:r>
        <w:rPr>
          <w:rtl w:val="true"/>
        </w:rPr>
        <w:t>בדומה</w:t>
      </w:r>
      <w:r>
        <w:rPr>
          <w:rtl w:val="true"/>
        </w:rPr>
        <w:t xml:space="preserve">, </w:t>
      </w:r>
      <w:r>
        <w:rPr>
          <w:rtl w:val="true"/>
        </w:rPr>
        <w:t>הנאשם לא הבין וכך גם לא הסבירו לו את המשמעות של הסכסוך הישראלי פלשתינאי וכן נתונים רבים אחרים שיכול ולמי שגדל במדינה</w:t>
      </w:r>
      <w:r>
        <w:rPr>
          <w:rtl w:val="true"/>
        </w:rPr>
        <w:t xml:space="preserve">, </w:t>
      </w:r>
      <w:r>
        <w:rPr>
          <w:rtl w:val="true"/>
        </w:rPr>
        <w:t>ברורים מאליהם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רק במהלך חקירתו בשב</w:t>
      </w:r>
      <w:r>
        <w:rPr>
          <w:rtl w:val="true"/>
        </w:rPr>
        <w:t>"</w:t>
      </w:r>
      <w:r>
        <w:rPr>
          <w:rtl w:val="true"/>
        </w:rPr>
        <w:t>כ</w:t>
      </w:r>
      <w:r>
        <w:rPr>
          <w:rtl w:val="true"/>
        </w:rPr>
        <w:t xml:space="preserve">, </w:t>
      </w:r>
      <w:r>
        <w:rPr>
          <w:rtl w:val="true"/>
        </w:rPr>
        <w:t>הבין הנאשם את המשמעות וההיבטים הנרחבים של העברת נשקים בנסיבות בהן פעל</w:t>
      </w:r>
      <w:r>
        <w:rPr>
          <w:rtl w:val="true"/>
        </w:rPr>
        <w:t xml:space="preserve">. </w:t>
      </w:r>
      <w:r>
        <w:rPr>
          <w:rtl w:val="true"/>
        </w:rPr>
        <w:t>הנאשם מבין שעשה טעות</w:t>
      </w:r>
      <w:r>
        <w:rPr>
          <w:rtl w:val="true"/>
        </w:rPr>
        <w:t xml:space="preserve">, </w:t>
      </w:r>
      <w:r>
        <w:rPr>
          <w:rtl w:val="true"/>
        </w:rPr>
        <w:t>מצר עלייה</w:t>
      </w:r>
      <w:r>
        <w:rPr>
          <w:rtl w:val="true"/>
        </w:rPr>
        <w:t xml:space="preserve">, </w:t>
      </w:r>
      <w:r>
        <w:rPr>
          <w:rtl w:val="true"/>
        </w:rPr>
        <w:t>מכה על חטא ולא בכדי הודה בחקירה הראשונה בכל מה שעשה ושיתף פעולה באופן מלא</w:t>
      </w:r>
      <w:r>
        <w:rPr>
          <w:rtl w:val="true"/>
        </w:rPr>
        <w:t xml:space="preserve">. </w:t>
      </w:r>
      <w:r>
        <w:rPr>
          <w:rtl w:val="true"/>
        </w:rPr>
        <w:t>הנאשם אף סיפר מעבר למה שנשאל ופירט דברים שהיו חשובים לחוקריו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הנאשם אמנם היה עובד קונסוליה ומשכך יש במעשיו כדי לפגוע במערכת האמון שבין המדינה לדיפלומטים המשרתים בה</w:t>
      </w:r>
      <w:r>
        <w:rPr>
          <w:rtl w:val="true"/>
        </w:rPr>
        <w:t xml:space="preserve">, </w:t>
      </w:r>
      <w:r>
        <w:rPr>
          <w:rtl w:val="true"/>
        </w:rPr>
        <w:t>יחד עם זאת הוטעם כי זה היה עובד זוטר</w:t>
      </w:r>
      <w:r>
        <w:rPr>
          <w:rtl w:val="true"/>
        </w:rPr>
        <w:t xml:space="preserve">, </w:t>
      </w:r>
      <w:r>
        <w:rPr>
          <w:rtl w:val="true"/>
        </w:rPr>
        <w:t>נעדר הכשרה שנכנס לסיטואציה עליה לא חלם או דמיין</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הנאשם צעיר</w:t>
      </w:r>
      <w:r>
        <w:rPr>
          <w:rtl w:val="true"/>
        </w:rPr>
        <w:t xml:space="preserve">, </w:t>
      </w:r>
      <w:r>
        <w:rPr>
          <w:rtl w:val="true"/>
        </w:rPr>
        <w:t>התפתחותו האישית נקטעה למשך שנים ומעמדו בחברה ממנה בה ניזוק קשות</w:t>
      </w:r>
      <w:r>
        <w:rPr>
          <w:rtl w:val="true"/>
        </w:rPr>
        <w:t xml:space="preserve">. </w:t>
      </w:r>
      <w:r>
        <w:rPr>
          <w:rtl w:val="true"/>
        </w:rPr>
        <w:t>הנאשם דובר השפה הצרפתית</w:t>
      </w:r>
      <w:r>
        <w:rPr>
          <w:rtl w:val="true"/>
        </w:rPr>
        <w:t xml:space="preserve">, </w:t>
      </w:r>
      <w:r>
        <w:rPr>
          <w:rtl w:val="true"/>
        </w:rPr>
        <w:t>נעדר מעטפת משפחתית תומכת ומשכך מעצרו ומאסרו קשים אף יותר מאשר על דרך הכלל</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אשר לגובהו של הקנס</w:t>
      </w:r>
      <w:r>
        <w:rPr>
          <w:rtl w:val="true"/>
        </w:rPr>
        <w:t xml:space="preserve">, </w:t>
      </w:r>
      <w:r>
        <w:rPr>
          <w:rtl w:val="true"/>
        </w:rPr>
        <w:t>נטען כי כל אותם נתונים הפועלים לזכותו של הנאשם וצוינו לעיל אמורים להביא גם להקלה ביחס לגובהו של הקנס</w:t>
      </w:r>
      <w:r>
        <w:rPr>
          <w:rtl w:val="true"/>
        </w:rPr>
        <w:t xml:space="preserve">, </w:t>
      </w:r>
      <w:r>
        <w:rPr>
          <w:rtl w:val="true"/>
        </w:rPr>
        <w:t>כשלכך יש להוסיף דבר היות הוריו של הנאשם</w:t>
      </w:r>
      <w:r>
        <w:rPr>
          <w:rtl w:val="true"/>
        </w:rPr>
        <w:t xml:space="preserve">, </w:t>
      </w:r>
      <w:r>
        <w:rPr>
          <w:rtl w:val="true"/>
        </w:rPr>
        <w:t>אנשים פשוטים</w:t>
      </w:r>
      <w:r>
        <w:rPr>
          <w:rtl w:val="true"/>
        </w:rPr>
        <w:t xml:space="preserve">, </w:t>
      </w:r>
      <w:r>
        <w:rPr>
          <w:rtl w:val="true"/>
        </w:rPr>
        <w:t>קשיי יום</w:t>
      </w:r>
      <w:r>
        <w:rPr>
          <w:rtl w:val="true"/>
        </w:rPr>
        <w:t xml:space="preserve">, </w:t>
      </w:r>
      <w:r>
        <w:rPr>
          <w:rtl w:val="true"/>
        </w:rPr>
        <w:t>שהפרוטה אינה מצויה בכיסם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הסנגור הגיש לבית המשפט אסופת מכתבים המלמדים סנגוריה על הנאשם</w:t>
      </w:r>
      <w:r>
        <w:rPr>
          <w:rtl w:val="true"/>
        </w:rPr>
        <w:t xml:space="preserve">. </w:t>
      </w:r>
      <w:r>
        <w:rPr>
          <w:rtl w:val="true"/>
        </w:rPr>
        <w:t>כך בין היתר ראש עיריית לבנטי</w:t>
      </w:r>
      <w:r>
        <w:rPr>
          <w:rtl w:val="true"/>
        </w:rPr>
        <w:t xml:space="preserve">, </w:t>
      </w:r>
      <w:r>
        <w:rPr>
          <w:rtl w:val="true"/>
        </w:rPr>
        <w:t>מר ג</w:t>
      </w:r>
      <w:r>
        <w:rPr>
          <w:rtl w:val="true"/>
        </w:rPr>
        <w:t>'</w:t>
      </w:r>
      <w:r>
        <w:rPr>
          <w:rtl w:val="true"/>
        </w:rPr>
        <w:t>אן פיליפ בונאר תיאר נאשם נעים הליכות דיסקרטי שנטל חלק בפעילויות חברתיות רבות</w:t>
      </w:r>
      <w:r>
        <w:rPr>
          <w:rtl w:val="true"/>
        </w:rPr>
        <w:t xml:space="preserve">; </w:t>
      </w:r>
      <w:r>
        <w:rPr>
          <w:rtl w:val="true"/>
        </w:rPr>
        <w:t>מנהל מחוזי של כיבוי אש מר לורן מורו אישר כי הנאשם עבר הכשרה בכיבוי אש והתנדב כלוחם אש</w:t>
      </w:r>
      <w:r>
        <w:rPr>
          <w:rtl w:val="true"/>
        </w:rPr>
        <w:t xml:space="preserve">; </w:t>
      </w:r>
      <w:r>
        <w:rPr>
          <w:rtl w:val="true"/>
        </w:rPr>
        <w:t>שכניו של הנאשם מארי ופיליפ ונקאולארט תיארו את יחסי השכנות הטובים שהיה להם עם הנאשם</w:t>
      </w:r>
      <w:r>
        <w:rPr>
          <w:rtl w:val="true"/>
        </w:rPr>
        <w:t xml:space="preserve">, </w:t>
      </w:r>
      <w:r>
        <w:rPr>
          <w:rtl w:val="true"/>
        </w:rPr>
        <w:t>דרך ארץ בה נהג</w:t>
      </w:r>
      <w:r>
        <w:rPr>
          <w:rtl w:val="true"/>
        </w:rPr>
        <w:t xml:space="preserve">, </w:t>
      </w:r>
      <w:r>
        <w:rPr>
          <w:rtl w:val="true"/>
        </w:rPr>
        <w:t>לרבות רצונם להעסיקו לכשישתחרר</w:t>
      </w:r>
      <w:r>
        <w:rPr>
          <w:rtl w:val="true"/>
        </w:rPr>
        <w:t xml:space="preserve">. </w:t>
      </w:r>
      <w:r>
        <w:rPr>
          <w:rtl w:val="true"/>
        </w:rPr>
        <w:t>בדומה</w:t>
      </w:r>
      <w:r>
        <w:rPr>
          <w:rtl w:val="true"/>
        </w:rPr>
        <w:t xml:space="preserve">, </w:t>
      </w:r>
      <w:r>
        <w:rPr>
          <w:rtl w:val="true"/>
        </w:rPr>
        <w:t>מר מקסים דז</w:t>
      </w:r>
      <w:r>
        <w:rPr>
          <w:rtl w:val="true"/>
        </w:rPr>
        <w:t>'</w:t>
      </w:r>
      <w:r>
        <w:rPr>
          <w:rtl w:val="true"/>
        </w:rPr>
        <w:t>וג  חברו של הנאשם סיפר על תשוקתם המשותפת לספורט ועל יושרו של הנאשם וכך גם כתבו חבריו ובני משפחתו בכללם אנבל דמארק</w:t>
      </w:r>
      <w:r>
        <w:rPr>
          <w:rtl w:val="true"/>
        </w:rPr>
        <w:t xml:space="preserve">, </w:t>
      </w:r>
      <w:r>
        <w:rPr>
          <w:rtl w:val="true"/>
        </w:rPr>
        <w:t>אנאיס שילרס</w:t>
      </w:r>
      <w:r>
        <w:rPr>
          <w:rtl w:val="true"/>
        </w:rPr>
        <w:t xml:space="preserve">, </w:t>
      </w:r>
      <w:r>
        <w:rPr>
          <w:rtl w:val="true"/>
        </w:rPr>
        <w:t>ומוריאל אקט</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rPr>
      </w:pPr>
      <w:r>
        <w:rPr>
          <w:b/>
          <w:b/>
          <w:bCs/>
          <w:rtl w:val="true"/>
        </w:rPr>
        <w:t>דיון והכרעה</w:t>
      </w:r>
    </w:p>
    <w:p>
      <w:pPr>
        <w:pStyle w:val="Normal"/>
        <w:spacing w:lineRule="auto" w:line="360"/>
        <w:ind w:end="0"/>
        <w:jc w:val="both"/>
        <w:rPr/>
      </w:pPr>
      <w:r>
        <w:rPr>
          <w:rtl w:val="true"/>
        </w:rPr>
        <w:t>קשה להפריז בחומרת מעשיו הנאשם הכוללים ביצוע עבירות נשק במדרג גבוה של חומרה</w:t>
      </w:r>
      <w:r>
        <w:rPr>
          <w:rtl w:val="true"/>
        </w:rPr>
        <w:t xml:space="preserve">, </w:t>
      </w:r>
      <w:r>
        <w:rPr>
          <w:rtl w:val="true"/>
        </w:rPr>
        <w:t>לצד עבירות של קבלת דבר במרמה וזאת תוך ניצול מעמדו הקונסולרי כעובד בקונסוליה הצרפתית</w:t>
      </w:r>
      <w:r>
        <w:rPr>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בתי משפט</w:t>
      </w:r>
      <w:r>
        <w:rPr>
          <w:rFonts w:cs="Arial" w:ascii="Arial" w:hAnsi="Arial"/>
          <w:rtl w:val="true"/>
        </w:rPr>
        <w:t xml:space="preserve">, </w:t>
      </w:r>
      <w:r>
        <w:rPr>
          <w:rFonts w:ascii="Arial" w:hAnsi="Arial" w:cs="Arial"/>
          <w:rtl w:val="true"/>
        </w:rPr>
        <w:t>פעם אחר פעם  עמדו על הגישה המחמירה שיש לנקוט בעבירות נשק</w:t>
      </w:r>
      <w:r>
        <w:rPr>
          <w:rFonts w:cs="Arial" w:ascii="Arial" w:hAnsi="Arial"/>
          <w:rtl w:val="true"/>
        </w:rPr>
        <w:t xml:space="preserve">. </w:t>
      </w:r>
      <w:r>
        <w:rPr>
          <w:rFonts w:ascii="Arial" w:hAnsi="Arial" w:cs="Arial"/>
          <w:rtl w:val="true"/>
        </w:rPr>
        <w:t>כך ראו ע</w:t>
      </w:r>
      <w:r>
        <w:rPr>
          <w:rFonts w:cs="Arial" w:ascii="Arial" w:hAnsi="Arial"/>
          <w:rtl w:val="true"/>
        </w:rPr>
        <w:t>"</w:t>
      </w:r>
      <w:r>
        <w:rPr>
          <w:rFonts w:ascii="Arial" w:hAnsi="Arial" w:cs="Arial"/>
          <w:rtl w:val="true"/>
        </w:rPr>
        <w:t xml:space="preserve">פ </w:t>
      </w:r>
      <w:r>
        <w:rPr>
          <w:rFonts w:cs="Arial" w:ascii="Arial" w:hAnsi="Arial"/>
        </w:rPr>
        <w:t>1332/04</w:t>
      </w:r>
      <w:r>
        <w:rPr>
          <w:rFonts w:cs="Arial" w:ascii="Arial" w:hAnsi="Arial"/>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 נ</w:t>
      </w:r>
      <w:r>
        <w:rPr>
          <w:rFonts w:cs="Arial" w:ascii="Arial" w:hAnsi="Arial"/>
          <w:b/>
          <w:bCs/>
          <w:rtl w:val="true"/>
        </w:rPr>
        <w:t xml:space="preserve">' </w:t>
      </w:r>
      <w:r>
        <w:rPr>
          <w:rFonts w:ascii="Arial" w:hAnsi="Arial" w:cs="Arial"/>
          <w:b/>
          <w:b/>
          <w:bCs/>
          <w:rtl w:val="true"/>
        </w:rPr>
        <w:t>יצחק רפאל פס ואח</w:t>
      </w:r>
      <w:r>
        <w:rPr>
          <w:rFonts w:cs="Arial" w:ascii="Arial" w:hAnsi="Arial"/>
          <w:b/>
          <w:bCs/>
          <w:rtl w:val="true"/>
        </w:rPr>
        <w:t xml:space="preserve">' </w:t>
      </w:r>
      <w:r>
        <w:rPr>
          <w:rFonts w:cs="Arial" w:ascii="Arial" w:hAnsi="Arial"/>
        </w:rPr>
        <w:t>9/04/2004</w:t>
      </w:r>
      <w:r>
        <w:rPr>
          <w:rFonts w:cs="Arial" w:ascii="Arial" w:hAnsi="Arial"/>
          <w:rtl w:val="true"/>
        </w:rPr>
        <w:t>):</w:t>
      </w:r>
    </w:p>
    <w:p>
      <w:pPr>
        <w:pStyle w:val="Normal"/>
        <w:ind w:start="567" w:end="567"/>
        <w:jc w:val="both"/>
        <w:rPr/>
      </w:pPr>
      <w:r>
        <w:rPr>
          <w:rFonts w:cs="Arial" w:ascii="Arial" w:hAnsi="Arial"/>
          <w:rtl w:val="true"/>
        </w:rPr>
        <w:t>"</w:t>
      </w:r>
      <w:r>
        <w:rPr>
          <w:rFonts w:ascii="Arial" w:hAnsi="Arial" w:cs="Arial"/>
          <w:b/>
          <w:b/>
          <w:bCs/>
          <w:rtl w:val="true"/>
        </w:rPr>
        <w:t>כבר נאמר לא אחת בפסיקתנו כי מידת העונש המוטל בגין עבירות המבוצעות בנשק מושפעת מפוטנציאל הסיכון הרב הטמון בנשק המוחזק שלא כדין</w:t>
      </w:r>
      <w:r>
        <w:rPr>
          <w:rFonts w:cs="Arial" w:ascii="Arial" w:hAnsi="Arial"/>
          <w:b/>
          <w:bCs/>
          <w:rtl w:val="true"/>
        </w:rPr>
        <w:t xml:space="preserve">, </w:t>
      </w:r>
      <w:r>
        <w:rPr>
          <w:rFonts w:ascii="Arial" w:hAnsi="Arial" w:cs="Arial"/>
          <w:b/>
          <w:b/>
          <w:bCs/>
          <w:rtl w:val="true"/>
        </w:rPr>
        <w:t>ומהעברתו מיד ליד ללא פיקוח</w:t>
      </w:r>
      <w:r>
        <w:rPr>
          <w:rFonts w:cs="Arial" w:ascii="Arial" w:hAnsi="Arial"/>
          <w:b/>
          <w:bCs/>
          <w:rtl w:val="true"/>
        </w:rPr>
        <w:t xml:space="preserve">. </w:t>
      </w:r>
      <w:r>
        <w:rPr>
          <w:rFonts w:ascii="Arial" w:hAnsi="Arial" w:cs="Arial"/>
          <w:b/>
          <w:b/>
          <w:bCs/>
          <w:rtl w:val="true"/>
        </w:rPr>
        <w:t>בבוא בית המשפט לגזור את הדין בעבירה של החזקה ונשיאה של נשק</w:t>
      </w:r>
      <w:r>
        <w:rPr>
          <w:rFonts w:cs="Arial" w:ascii="Arial" w:hAnsi="Arial"/>
          <w:b/>
          <w:bCs/>
          <w:rtl w:val="true"/>
        </w:rPr>
        <w:t xml:space="preserve">, </w:t>
      </w:r>
      <w:r>
        <w:rPr>
          <w:rFonts w:ascii="Arial" w:hAnsi="Arial" w:cs="Arial"/>
          <w:b/>
          <w:b/>
          <w:bCs/>
          <w:rtl w:val="true"/>
        </w:rPr>
        <w:t>עליו להתחשב בנסיבות בהן באה לידי ביטוי החומרה המיוחדת שבעבירה</w:t>
      </w:r>
      <w:r>
        <w:rPr>
          <w:rFonts w:cs="Arial" w:ascii="Arial" w:hAnsi="Arial"/>
          <w:b/>
          <w:bCs/>
          <w:rtl w:val="true"/>
        </w:rPr>
        <w:t xml:space="preserve">. </w:t>
      </w:r>
      <w:r>
        <w:rPr>
          <w:rFonts w:ascii="Arial" w:hAnsi="Arial" w:cs="Arial"/>
          <w:b/>
          <w:b/>
          <w:bCs/>
          <w:rtl w:val="true"/>
        </w:rPr>
        <w:t>בין היתר</w:t>
      </w:r>
      <w:r>
        <w:rPr>
          <w:rFonts w:cs="Arial" w:ascii="Arial" w:hAnsi="Arial"/>
          <w:b/>
          <w:bCs/>
          <w:rtl w:val="true"/>
        </w:rPr>
        <w:t xml:space="preserve">, </w:t>
      </w:r>
      <w:r>
        <w:rPr>
          <w:rFonts w:ascii="Arial" w:hAnsi="Arial" w:cs="Arial"/>
          <w:b/>
          <w:b/>
          <w:bCs/>
          <w:rtl w:val="true"/>
        </w:rPr>
        <w:t>יתן בית המשפט דעתו לסוג הנשק המוחזק שלא כדין</w:t>
      </w:r>
      <w:r>
        <w:rPr>
          <w:rFonts w:cs="Arial" w:ascii="Arial" w:hAnsi="Arial"/>
          <w:b/>
          <w:bCs/>
          <w:rtl w:val="true"/>
        </w:rPr>
        <w:t xml:space="preserve">, </w:t>
      </w:r>
      <w:r>
        <w:rPr>
          <w:rFonts w:ascii="Arial" w:hAnsi="Arial" w:cs="Arial"/>
          <w:b/>
          <w:b/>
          <w:bCs/>
          <w:rtl w:val="true"/>
        </w:rPr>
        <w:t>לכמותו</w:t>
      </w:r>
      <w:r>
        <w:rPr>
          <w:rFonts w:cs="Arial" w:ascii="Arial" w:hAnsi="Arial"/>
          <w:b/>
          <w:bCs/>
          <w:rtl w:val="true"/>
        </w:rPr>
        <w:t xml:space="preserve">, </w:t>
      </w:r>
      <w:r>
        <w:rPr>
          <w:rFonts w:ascii="Arial" w:hAnsi="Arial" w:cs="Arial"/>
          <w:b/>
          <w:b/>
          <w:bCs/>
          <w:rtl w:val="true"/>
        </w:rPr>
        <w:t xml:space="preserve">לתכלית שלשמה הוא מוחזק ולסכנה המוחשית שיעשה בו שימוש </w:t>
      </w:r>
      <w:r>
        <w:rPr>
          <w:rFonts w:cs="Arial" w:ascii="Arial" w:hAnsi="Arial"/>
          <w:b/>
          <w:bCs/>
          <w:rtl w:val="true"/>
        </w:rPr>
        <w:t>(</w:t>
      </w:r>
      <w:r>
        <w:rPr>
          <w:rFonts w:ascii="Arial" w:hAnsi="Arial" w:cs="Arial"/>
          <w:b/>
          <w:b/>
          <w:bCs/>
          <w:rtl w:val="true"/>
        </w:rPr>
        <w:t>השוו</w:t>
      </w:r>
      <w:r>
        <w:rPr>
          <w:rFonts w:cs="Arial" w:ascii="Arial" w:hAnsi="Arial"/>
          <w:b/>
          <w:bCs/>
          <w:rtl w:val="true"/>
        </w:rPr>
        <w:t xml:space="preserve">: </w:t>
      </w:r>
      <w:hyperlink r:id="rId11">
        <w:r>
          <w:rPr>
            <w:rStyle w:val="Hyperlink"/>
            <w:rFonts w:ascii="Arial" w:hAnsi="Arial" w:cs="Arial"/>
            <w:b/>
            <w:b/>
            <w:bCs/>
            <w:color w:val="0000FF"/>
            <w:u w:val="single"/>
            <w:rtl w:val="true"/>
          </w:rPr>
          <w:t>ב</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ש </w:t>
        </w:r>
        <w:r>
          <w:rPr>
            <w:rStyle w:val="Hyperlink"/>
            <w:rFonts w:cs="Arial" w:ascii="Arial" w:hAnsi="Arial"/>
            <w:b/>
            <w:bCs/>
            <w:color w:val="0000FF"/>
            <w:u w:val="single"/>
          </w:rPr>
          <w:t>625/82</w:t>
        </w:r>
      </w:hyperlink>
      <w:r>
        <w:rPr>
          <w:rFonts w:cs="Arial" w:ascii="Arial" w:hAnsi="Arial"/>
          <w:b/>
          <w:bCs/>
          <w:rtl w:val="true"/>
        </w:rPr>
        <w:t xml:space="preserve"> </w:t>
      </w:r>
      <w:r>
        <w:rPr>
          <w:rFonts w:ascii="Arial" w:hAnsi="Arial" w:cs="Arial"/>
          <w:b/>
          <w:b/>
          <w:bCs/>
          <w:rtl w:val="true"/>
        </w:rPr>
        <w:t>חלמי אבו מוך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b/>
          <w:bCs/>
          <w:rtl w:val="true"/>
        </w:rPr>
        <w:t>(</w:t>
      </w:r>
      <w:r>
        <w:rPr>
          <w:rFonts w:ascii="Arial" w:hAnsi="Arial" w:cs="Arial"/>
          <w:b/>
          <w:b/>
          <w:bCs/>
          <w:rtl w:val="true"/>
        </w:rPr>
        <w:t>לא פורסם</w:t>
      </w:r>
      <w:r>
        <w:rPr>
          <w:rFonts w:cs="Arial" w:ascii="Arial" w:hAnsi="Arial"/>
          <w:rtl w:val="true"/>
        </w:rPr>
        <w:t>".</w:t>
      </w:r>
    </w:p>
    <w:p>
      <w:pPr>
        <w:pStyle w:val="Normal"/>
        <w:spacing w:lineRule="auto" w:line="276"/>
        <w:ind w:end="0"/>
        <w:jc w:val="both"/>
        <w:rPr>
          <w:rFonts w:ascii="Arial" w:hAnsi="Arial" w:eastAsia="Arial" w:cs="Arial"/>
        </w:rPr>
      </w:pPr>
      <w:r>
        <w:rPr>
          <w:rFonts w:eastAsia="Arial" w:cs="Arial" w:ascii="Arial" w:hAnsi="Arial"/>
          <w:rtl w:val="true"/>
        </w:rPr>
        <w:t xml:space="preserve">   </w:t>
      </w:r>
    </w:p>
    <w:p>
      <w:pPr>
        <w:pStyle w:val="Normal"/>
        <w:spacing w:lineRule="auto" w:line="360"/>
        <w:ind w:end="0"/>
        <w:jc w:val="both"/>
        <w:rPr/>
      </w:pPr>
      <w:r>
        <w:rPr>
          <w:rFonts w:ascii="Arial" w:hAnsi="Arial" w:cs="Arial"/>
          <w:rtl w:val="true"/>
        </w:rPr>
        <w:t>ובדומה</w:t>
      </w:r>
      <w:r>
        <w:rPr>
          <w:rFonts w:cs="Arial" w:ascii="Arial" w:hAnsi="Arial"/>
          <w:rtl w:val="true"/>
        </w:rPr>
        <w:t xml:space="preserve">, </w:t>
      </w:r>
      <w:hyperlink r:id="rId1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1397/16</w:t>
        </w:r>
      </w:hyperlink>
      <w:r>
        <w:rPr>
          <w:rFonts w:cs="Arial" w:ascii="Arial" w:hAnsi="Arial"/>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 נ</w:t>
      </w:r>
      <w:r>
        <w:rPr>
          <w:rFonts w:cs="Arial" w:ascii="Arial" w:hAnsi="Arial"/>
          <w:b/>
          <w:bCs/>
          <w:rtl w:val="true"/>
        </w:rPr>
        <w:t xml:space="preserve">' </w:t>
      </w:r>
      <w:r>
        <w:rPr>
          <w:rFonts w:ascii="Arial" w:hAnsi="Arial" w:cs="Arial"/>
          <w:b/>
          <w:b/>
          <w:bCs/>
          <w:rtl w:val="true"/>
        </w:rPr>
        <w:t>אחמד חמאיל</w:t>
      </w:r>
      <w:r>
        <w:rPr>
          <w:rFonts w:ascii="Arial" w:hAnsi="Arial" w:cs="Arial"/>
          <w:rtl w:val="true"/>
        </w:rPr>
        <w:t xml:space="preserve"> </w:t>
      </w:r>
      <w:r>
        <w:rPr>
          <w:rFonts w:cs="Arial" w:ascii="Arial" w:hAnsi="Arial"/>
          <w:rtl w:val="true"/>
        </w:rPr>
        <w:t>(</w:t>
      </w:r>
      <w:r>
        <w:rPr>
          <w:rFonts w:cs="Arial" w:ascii="Arial" w:hAnsi="Arial"/>
        </w:rPr>
        <w:t>12.9.16</w:t>
      </w:r>
      <w:r>
        <w:rPr>
          <w:rFonts w:cs="Arial" w:ascii="Arial" w:hAnsi="Arial"/>
          <w:rtl w:val="true"/>
        </w:rPr>
        <w:t xml:space="preserve">) </w:t>
      </w:r>
      <w:r>
        <w:rPr>
          <w:rFonts w:ascii="Arial" w:hAnsi="Arial" w:cs="Arial"/>
          <w:rtl w:val="true"/>
        </w:rPr>
        <w:t>כי</w:t>
      </w:r>
      <w:r>
        <w:rPr>
          <w:rFonts w:cs="Arial" w:ascii="Arial" w:hAnsi="Arial"/>
          <w:rtl w:val="true"/>
        </w:rPr>
        <w:t xml:space="preserve">: </w:t>
      </w:r>
    </w:p>
    <w:p>
      <w:pPr>
        <w:pStyle w:val="Normal"/>
        <w:ind w:start="509" w:end="567"/>
        <w:jc w:val="both"/>
        <w:rPr>
          <w:rFonts w:ascii="Arial" w:hAnsi="Arial" w:cs="Arial"/>
          <w:b/>
          <w:bCs/>
        </w:rPr>
      </w:pPr>
      <w:r>
        <w:rPr>
          <w:rFonts w:cs="Arial" w:ascii="Arial" w:hAnsi="Arial"/>
          <w:b/>
          <w:bCs/>
          <w:rtl w:val="true"/>
        </w:rPr>
        <w:t xml:space="preserve">" </w:t>
      </w:r>
      <w:r>
        <w:rPr>
          <w:rFonts w:ascii="Calibri" w:hAnsi="Calibri" w:cs="Calibri"/>
          <w:b/>
          <w:b/>
          <w:bCs/>
          <w:rtl w:val="true"/>
        </w:rPr>
        <w:t>המגמה</w:t>
      </w:r>
      <w:r>
        <w:rPr>
          <w:rFonts w:ascii="Calibri" w:hAnsi="Calibri" w:cs="Calibri"/>
          <w:b/>
          <w:b/>
          <w:bCs/>
          <w:rtl w:val="true"/>
        </w:rPr>
        <w:t xml:space="preserve"> </w:t>
      </w:r>
      <w:r>
        <w:rPr>
          <w:rFonts w:ascii="Calibri" w:hAnsi="Calibri" w:cs="Calibri"/>
          <w:b/>
          <w:b/>
          <w:bCs/>
          <w:rtl w:val="true"/>
        </w:rPr>
        <w:t>בשנים</w:t>
      </w:r>
      <w:r>
        <w:rPr>
          <w:rFonts w:ascii="Calibri" w:hAnsi="Calibri" w:cs="Calibri"/>
          <w:b/>
          <w:b/>
          <w:bCs/>
          <w:rtl w:val="true"/>
        </w:rPr>
        <w:t xml:space="preserve"> </w:t>
      </w:r>
      <w:r>
        <w:rPr>
          <w:rFonts w:ascii="Calibri" w:hAnsi="Calibri" w:cs="Calibri"/>
          <w:b/>
          <w:b/>
          <w:bCs/>
          <w:rtl w:val="true"/>
        </w:rPr>
        <w:t>האחרונות</w:t>
      </w:r>
      <w:r>
        <w:rPr>
          <w:rFonts w:ascii="Calibri" w:hAnsi="Calibri" w:cs="Calibri"/>
          <w:b/>
          <w:b/>
          <w:bCs/>
          <w:rtl w:val="true"/>
        </w:rPr>
        <w:t xml:space="preserve"> </w:t>
      </w:r>
      <w:r>
        <w:rPr>
          <w:rFonts w:ascii="Calibri" w:hAnsi="Calibri" w:cs="Calibri"/>
          <w:b/>
          <w:b/>
          <w:bCs/>
          <w:rtl w:val="true"/>
        </w:rPr>
        <w:t>לגבי</w:t>
      </w:r>
      <w:r>
        <w:rPr>
          <w:rFonts w:ascii="Calibri" w:hAnsi="Calibri" w:cs="Calibri"/>
          <w:b/>
          <w:b/>
          <w:bCs/>
          <w:rtl w:val="true"/>
        </w:rPr>
        <w:t xml:space="preserve"> </w:t>
      </w:r>
      <w:r>
        <w:rPr>
          <w:rFonts w:ascii="Calibri" w:hAnsi="Calibri" w:cs="Calibri"/>
          <w:b/>
          <w:b/>
          <w:bCs/>
          <w:rtl w:val="true"/>
        </w:rPr>
        <w:t>עבירות</w:t>
      </w:r>
      <w:r>
        <w:rPr>
          <w:rFonts w:ascii="Calibri" w:hAnsi="Calibri" w:cs="Calibri"/>
          <w:b/>
          <w:b/>
          <w:bCs/>
          <w:rtl w:val="true"/>
        </w:rPr>
        <w:t xml:space="preserve"> </w:t>
      </w:r>
      <w:r>
        <w:rPr>
          <w:rFonts w:ascii="Calibri" w:hAnsi="Calibri" w:cs="Calibri"/>
          <w:b/>
          <w:b/>
          <w:bCs/>
          <w:rtl w:val="true"/>
        </w:rPr>
        <w:t>נשק</w:t>
      </w:r>
      <w:r>
        <w:rPr>
          <w:rFonts w:ascii="Calibri" w:hAnsi="Calibri" w:cs="Calibri"/>
          <w:b/>
          <w:b/>
          <w:bCs/>
          <w:rtl w:val="true"/>
        </w:rPr>
        <w:t xml:space="preserve"> </w:t>
      </w:r>
      <w:r>
        <w:rPr>
          <w:rFonts w:ascii="Calibri" w:hAnsi="Calibri" w:cs="Calibri"/>
          <w:b/>
          <w:b/>
          <w:bCs/>
          <w:rtl w:val="true"/>
        </w:rPr>
        <w:t>בכלל</w:t>
      </w:r>
      <w:r>
        <w:rPr>
          <w:rFonts w:ascii="Calibri" w:hAnsi="Calibri" w:cs="Calibri"/>
          <w:b/>
          <w:b/>
          <w:bCs/>
          <w:rtl w:val="true"/>
        </w:rPr>
        <w:t xml:space="preserve"> </w:t>
      </w:r>
      <w:r>
        <w:rPr>
          <w:rFonts w:ascii="Calibri" w:hAnsi="Calibri" w:cs="Calibri"/>
          <w:b/>
          <w:b/>
          <w:bCs/>
          <w:rtl w:val="true"/>
        </w:rPr>
        <w:t>ועבירות</w:t>
      </w:r>
      <w:r>
        <w:rPr>
          <w:rFonts w:ascii="Calibri" w:hAnsi="Calibri" w:cs="Calibri"/>
          <w:b/>
          <w:b/>
          <w:bCs/>
          <w:rtl w:val="true"/>
        </w:rPr>
        <w:t xml:space="preserve"> </w:t>
      </w:r>
      <w:r>
        <w:rPr>
          <w:rFonts w:ascii="Calibri" w:hAnsi="Calibri" w:cs="Calibri"/>
          <w:b/>
          <w:b/>
          <w:bCs/>
          <w:rtl w:val="true"/>
        </w:rPr>
        <w:t>סחר</w:t>
      </w:r>
      <w:r>
        <w:rPr>
          <w:rFonts w:ascii="Calibri" w:hAnsi="Calibri" w:cs="Calibri"/>
          <w:b/>
          <w:b/>
          <w:bCs/>
          <w:rtl w:val="true"/>
        </w:rPr>
        <w:t xml:space="preserve"> </w:t>
      </w:r>
      <w:r>
        <w:rPr>
          <w:rFonts w:ascii="Calibri" w:hAnsi="Calibri" w:cs="Calibri"/>
          <w:b/>
          <w:b/>
          <w:bCs/>
          <w:rtl w:val="true"/>
        </w:rPr>
        <w:t>בלתי</w:t>
      </w:r>
      <w:r>
        <w:rPr>
          <w:rFonts w:ascii="Calibri" w:hAnsi="Calibri" w:cs="Calibri"/>
          <w:b/>
          <w:b/>
          <w:bCs/>
          <w:rtl w:val="true"/>
        </w:rPr>
        <w:t xml:space="preserve"> </w:t>
      </w:r>
      <w:r>
        <w:rPr>
          <w:rFonts w:ascii="Calibri" w:hAnsi="Calibri" w:cs="Calibri"/>
          <w:b/>
          <w:b/>
          <w:bCs/>
          <w:rtl w:val="true"/>
        </w:rPr>
        <w:t>חוקי</w:t>
      </w:r>
      <w:r>
        <w:rPr>
          <w:rFonts w:ascii="Calibri" w:hAnsi="Calibri" w:cs="Calibri"/>
          <w:b/>
          <w:b/>
          <w:bCs/>
          <w:rtl w:val="true"/>
        </w:rPr>
        <w:t xml:space="preserve"> </w:t>
      </w:r>
      <w:r>
        <w:rPr>
          <w:rFonts w:ascii="Calibri" w:hAnsi="Calibri" w:cs="Calibri"/>
          <w:b/>
          <w:b/>
          <w:bCs/>
          <w:rtl w:val="true"/>
        </w:rPr>
        <w:t>בנשק</w:t>
      </w:r>
      <w:r>
        <w:rPr>
          <w:rFonts w:ascii="Calibri" w:hAnsi="Calibri" w:cs="Calibri"/>
          <w:b/>
          <w:b/>
          <w:bCs/>
          <w:rtl w:val="true"/>
        </w:rPr>
        <w:t xml:space="preserve"> </w:t>
      </w:r>
      <w:r>
        <w:rPr>
          <w:rFonts w:ascii="Calibri" w:hAnsi="Calibri" w:cs="Calibri"/>
          <w:b/>
          <w:b/>
          <w:bCs/>
          <w:rtl w:val="true"/>
        </w:rPr>
        <w:t>בפרט</w:t>
      </w:r>
      <w:r>
        <w:rPr>
          <w:rFonts w:ascii="Calibri" w:hAnsi="Calibri" w:cs="Calibri"/>
          <w:b/>
          <w:b/>
          <w:bCs/>
          <w:rtl w:val="true"/>
        </w:rPr>
        <w:t xml:space="preserve"> </w:t>
      </w:r>
      <w:r>
        <w:rPr>
          <w:rFonts w:ascii="Calibri" w:hAnsi="Calibri" w:cs="Calibri"/>
          <w:b/>
          <w:b/>
          <w:bCs/>
          <w:rtl w:val="true"/>
        </w:rPr>
        <w:t>היא</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ascii="Calibri" w:hAnsi="Calibri" w:cs="Calibri"/>
          <w:b/>
          <w:b/>
          <w:bCs/>
          <w:rtl w:val="true"/>
        </w:rPr>
        <w:t>החמרה</w:t>
      </w:r>
      <w:r>
        <w:rPr>
          <w:rFonts w:ascii="Calibri" w:hAnsi="Calibri" w:cs="Calibri"/>
          <w:b/>
          <w:b/>
          <w:bCs/>
          <w:rtl w:val="true"/>
        </w:rPr>
        <w:t xml:space="preserve"> </w:t>
      </w:r>
      <w:r>
        <w:rPr>
          <w:rFonts w:ascii="Calibri" w:hAnsi="Calibri" w:cs="Calibri"/>
          <w:b/>
          <w:b/>
          <w:bCs/>
          <w:rtl w:val="true"/>
        </w:rPr>
        <w:t>ברמת</w:t>
      </w:r>
      <w:r>
        <w:rPr>
          <w:rFonts w:ascii="Calibri" w:hAnsi="Calibri" w:cs="Calibri"/>
          <w:b/>
          <w:b/>
          <w:bCs/>
          <w:rtl w:val="true"/>
        </w:rPr>
        <w:t xml:space="preserve"> </w:t>
      </w:r>
      <w:r>
        <w:rPr>
          <w:rFonts w:ascii="Calibri" w:hAnsi="Calibri" w:cs="Calibri"/>
          <w:b/>
          <w:b/>
          <w:bCs/>
          <w:rtl w:val="true"/>
        </w:rPr>
        <w:t>ענישתם</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ascii="Calibri" w:hAnsi="Calibri" w:cs="Calibri"/>
          <w:b/>
          <w:b/>
          <w:bCs/>
          <w:rtl w:val="true"/>
        </w:rPr>
        <w:t>המעורבים</w:t>
      </w:r>
      <w:r>
        <w:rPr>
          <w:rFonts w:ascii="Calibri" w:hAnsi="Calibri" w:cs="Calibri"/>
          <w:b/>
          <w:b/>
          <w:bCs/>
          <w:rtl w:val="true"/>
        </w:rPr>
        <w:t xml:space="preserve"> </w:t>
      </w:r>
      <w:r>
        <w:rPr>
          <w:rFonts w:ascii="Calibri" w:hAnsi="Calibri" w:cs="Calibri"/>
          <w:b/>
          <w:b/>
          <w:bCs/>
          <w:rtl w:val="true"/>
        </w:rPr>
        <w:t>בהן</w:t>
      </w:r>
      <w:r>
        <w:rPr>
          <w:rFonts w:ascii="Calibri" w:hAnsi="Calibri" w:cs="Calibri"/>
          <w:b/>
          <w:b/>
          <w:bCs/>
          <w:rtl w:val="true"/>
        </w:rPr>
        <w:t xml:space="preserve"> </w:t>
      </w:r>
      <w:r>
        <w:rPr>
          <w:rFonts w:ascii="Calibri" w:hAnsi="Calibri" w:cs="Calibri"/>
          <w:b/>
          <w:b/>
          <w:bCs/>
          <w:rtl w:val="true"/>
        </w:rPr>
        <w:t>ומתן</w:t>
      </w:r>
      <w:r>
        <w:rPr>
          <w:rFonts w:ascii="Calibri" w:hAnsi="Calibri" w:cs="Calibri"/>
          <w:b/>
          <w:b/>
          <w:bCs/>
          <w:rtl w:val="true"/>
        </w:rPr>
        <w:t xml:space="preserve"> </w:t>
      </w:r>
      <w:r>
        <w:rPr>
          <w:rFonts w:ascii="Calibri" w:hAnsi="Calibri" w:cs="Calibri"/>
          <w:b/>
          <w:b/>
          <w:bCs/>
          <w:rtl w:val="true"/>
        </w:rPr>
        <w:t>ביטוי</w:t>
      </w:r>
      <w:r>
        <w:rPr>
          <w:rFonts w:ascii="Calibri" w:hAnsi="Calibri" w:cs="Calibri"/>
          <w:b/>
          <w:b/>
          <w:bCs/>
          <w:rtl w:val="true"/>
        </w:rPr>
        <w:t xml:space="preserve"> </w:t>
      </w:r>
      <w:r>
        <w:rPr>
          <w:rFonts w:ascii="Calibri" w:hAnsi="Calibri" w:cs="Calibri"/>
          <w:b/>
          <w:b/>
          <w:bCs/>
          <w:rtl w:val="true"/>
        </w:rPr>
        <w:t>עונשי</w:t>
      </w:r>
      <w:r>
        <w:rPr>
          <w:rFonts w:ascii="Calibri" w:hAnsi="Calibri" w:cs="Calibri"/>
          <w:b/>
          <w:b/>
          <w:bCs/>
          <w:rtl w:val="true"/>
        </w:rPr>
        <w:t xml:space="preserve"> </w:t>
      </w:r>
      <w:r>
        <w:rPr>
          <w:rFonts w:ascii="Calibri" w:hAnsi="Calibri" w:cs="Calibri"/>
          <w:b/>
          <w:b/>
          <w:bCs/>
          <w:rtl w:val="true"/>
        </w:rPr>
        <w:t>ההולם</w:t>
      </w:r>
      <w:r>
        <w:rPr>
          <w:rFonts w:ascii="Calibri" w:hAnsi="Calibri" w:cs="Calibri"/>
          <w:b/>
          <w:b/>
          <w:bCs/>
          <w:rtl w:val="true"/>
        </w:rPr>
        <w:t xml:space="preserve"> </w:t>
      </w:r>
      <w:r>
        <w:rPr>
          <w:rFonts w:ascii="Calibri" w:hAnsi="Calibri" w:cs="Calibri"/>
          <w:b/>
          <w:b/>
          <w:bCs/>
          <w:rtl w:val="true"/>
        </w:rPr>
        <w:t>את</w:t>
      </w:r>
      <w:r>
        <w:rPr>
          <w:rFonts w:ascii="Calibri" w:hAnsi="Calibri" w:cs="Calibri"/>
          <w:b/>
          <w:b/>
          <w:bCs/>
          <w:rtl w:val="true"/>
        </w:rPr>
        <w:t xml:space="preserve"> </w:t>
      </w:r>
      <w:r>
        <w:rPr>
          <w:rFonts w:ascii="Calibri" w:hAnsi="Calibri" w:cs="Calibri"/>
          <w:b/>
          <w:b/>
          <w:bCs/>
          <w:rtl w:val="true"/>
        </w:rPr>
        <w:t>הסכנה</w:t>
      </w:r>
      <w:r>
        <w:rPr>
          <w:rFonts w:ascii="Calibri" w:hAnsi="Calibri" w:cs="Calibri"/>
          <w:b/>
          <w:b/>
          <w:bCs/>
          <w:rtl w:val="true"/>
        </w:rPr>
        <w:t xml:space="preserve"> </w:t>
      </w:r>
      <w:r>
        <w:rPr>
          <w:rFonts w:ascii="Calibri" w:hAnsi="Calibri" w:cs="Calibri"/>
          <w:b/>
          <w:b/>
          <w:bCs/>
          <w:rtl w:val="true"/>
        </w:rPr>
        <w:t>הנשקפת</w:t>
      </w:r>
      <w:r>
        <w:rPr>
          <w:rFonts w:ascii="Calibri" w:hAnsi="Calibri" w:cs="Calibri"/>
          <w:b/>
          <w:b/>
          <w:bCs/>
          <w:rtl w:val="true"/>
        </w:rPr>
        <w:t xml:space="preserve"> </w:t>
      </w:r>
      <w:r>
        <w:rPr>
          <w:rFonts w:ascii="Calibri" w:hAnsi="Calibri" w:cs="Calibri"/>
          <w:b/>
          <w:b/>
          <w:bCs/>
          <w:rtl w:val="true"/>
        </w:rPr>
        <w:t>מהם</w:t>
      </w:r>
      <w:r>
        <w:rPr>
          <w:rFonts w:ascii="Calibri" w:hAnsi="Calibri" w:cs="Calibri"/>
          <w:b/>
          <w:b/>
          <w:bCs/>
          <w:rtl w:val="true"/>
        </w:rPr>
        <w:t xml:space="preserve"> </w:t>
      </w:r>
      <w:r>
        <w:rPr>
          <w:rFonts w:cs="Calibri" w:ascii="Calibri" w:hAnsi="Calibri"/>
          <w:b/>
          <w:bCs/>
          <w:rtl w:val="true"/>
        </w:rPr>
        <w:t>(</w:t>
      </w:r>
      <w:r>
        <w:rPr>
          <w:rFonts w:ascii="Calibri" w:hAnsi="Calibri" w:cs="Calibri"/>
          <w:b/>
          <w:b/>
          <w:bCs/>
          <w:rtl w:val="true"/>
        </w:rPr>
        <w:t>ענין</w:t>
      </w:r>
      <w:r>
        <w:rPr>
          <w:rFonts w:ascii="Calibri" w:hAnsi="Calibri" w:cs="Calibri"/>
          <w:b/>
          <w:b/>
          <w:bCs/>
          <w:rtl w:val="true"/>
        </w:rPr>
        <w:t xml:space="preserve"> </w:t>
      </w:r>
      <w:r>
        <w:rPr>
          <w:rFonts w:ascii="Calibri" w:hAnsi="Calibri" w:cs="Calibri"/>
          <w:b/>
          <w:b/>
          <w:bCs/>
          <w:rtl w:val="true"/>
        </w:rPr>
        <w:t>נפאע</w:t>
      </w:r>
      <w:r>
        <w:rPr>
          <w:rFonts w:ascii="Calibri" w:hAnsi="Calibri" w:cs="Calibri"/>
          <w:b/>
          <w:b/>
          <w:bCs/>
          <w:rtl w:val="true"/>
        </w:rPr>
        <w:t xml:space="preserve"> </w:t>
      </w:r>
      <w:r>
        <w:rPr>
          <w:rFonts w:ascii="Calibri" w:hAnsi="Calibri" w:cs="Calibri"/>
          <w:b/>
          <w:b/>
          <w:bCs/>
          <w:rtl w:val="true"/>
        </w:rPr>
        <w:t>לעיל</w:t>
      </w:r>
      <w:r>
        <w:rPr>
          <w:rFonts w:cs="Calibri" w:ascii="Calibri" w:hAnsi="Calibri"/>
          <w:b/>
          <w:bCs/>
          <w:rtl w:val="true"/>
        </w:rPr>
        <w:t xml:space="preserve">; </w:t>
      </w:r>
      <w:hyperlink r:id="rId13">
        <w:r>
          <w:rPr>
            <w:rStyle w:val="Hyperlink"/>
            <w:rFonts w:ascii="Calibri" w:hAnsi="Calibri" w:cs="Calibri"/>
            <w:b/>
            <w:b/>
            <w:bCs/>
            <w:color w:val="0000FF"/>
            <w:u w:val="single"/>
            <w:rtl w:val="true"/>
          </w:rPr>
          <w:t>ע</w:t>
        </w:r>
        <w:r>
          <w:rPr>
            <w:rStyle w:val="Hyperlink"/>
            <w:rFonts w:cs="Calibri" w:ascii="Calibri" w:hAnsi="Calibri"/>
            <w:b/>
            <w:bCs/>
            <w:color w:val="0000FF"/>
            <w:u w:val="single"/>
            <w:rtl w:val="true"/>
          </w:rPr>
          <w:t>"</w:t>
        </w:r>
        <w:r>
          <w:rPr>
            <w:rStyle w:val="Hyperlink"/>
            <w:rFonts w:ascii="Calibri" w:hAnsi="Calibri" w:cs="Calibri"/>
            <w:b/>
            <w:b/>
            <w:bCs/>
            <w:color w:val="0000FF"/>
            <w:u w:val="single"/>
            <w:rtl w:val="true"/>
          </w:rPr>
          <w:t>פ</w:t>
        </w:r>
        <w:r>
          <w:rPr>
            <w:rStyle w:val="Hyperlink"/>
            <w:rFonts w:ascii="Calibri" w:hAnsi="Calibri" w:cs="Calibri"/>
            <w:b/>
            <w:b/>
            <w:bCs/>
            <w:color w:val="0000FF"/>
            <w:u w:val="single"/>
            <w:rtl w:val="true"/>
          </w:rPr>
          <w:t xml:space="preserve"> </w:t>
        </w:r>
        <w:r>
          <w:rPr>
            <w:rStyle w:val="Hyperlink"/>
            <w:rFonts w:cs="Calibri" w:ascii="Calibri" w:hAnsi="Calibri"/>
            <w:b/>
            <w:bCs/>
            <w:color w:val="0000FF"/>
            <w:u w:val="single"/>
          </w:rPr>
          <w:t>4499/11</w:t>
        </w:r>
      </w:hyperlink>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מנסור</w:t>
      </w:r>
      <w:r>
        <w:rPr>
          <w:rFonts w:cs="Calibri" w:ascii="Calibri" w:hAnsi="Calibri"/>
          <w:b/>
          <w:bCs/>
          <w:rtl w:val="true"/>
        </w:rPr>
        <w:t xml:space="preserve">, </w:t>
      </w:r>
      <w:r>
        <w:rPr>
          <w:rFonts w:ascii="Calibri" w:hAnsi="Calibri" w:cs="Calibri"/>
          <w:b/>
          <w:b/>
          <w:bCs/>
          <w:rtl w:val="true"/>
        </w:rPr>
        <w:t>פסקה</w:t>
      </w:r>
      <w:r>
        <w:rPr>
          <w:rFonts w:ascii="Calibri" w:hAnsi="Calibri" w:cs="Calibri"/>
          <w:b/>
          <w:b/>
          <w:bCs/>
          <w:rtl w:val="true"/>
        </w:rPr>
        <w:t xml:space="preserve"> </w:t>
      </w:r>
      <w:r>
        <w:rPr>
          <w:rFonts w:cs="Calibri" w:ascii="Calibri" w:hAnsi="Calibri"/>
          <w:b/>
          <w:bCs/>
        </w:rPr>
        <w:t>5</w:t>
      </w:r>
      <w:r>
        <w:rPr>
          <w:rFonts w:cs="Calibri" w:ascii="Calibri" w:hAnsi="Calibri"/>
          <w:b/>
          <w:bCs/>
          <w:rtl w:val="true"/>
        </w:rPr>
        <w:t xml:space="preserve"> (</w:t>
      </w:r>
      <w:r>
        <w:rPr>
          <w:rFonts w:cs="Calibri" w:ascii="Calibri" w:hAnsi="Calibri"/>
          <w:b/>
          <w:bCs/>
        </w:rPr>
        <w:t>5.12.2011</w:t>
      </w:r>
      <w:r>
        <w:rPr>
          <w:rFonts w:cs="Calibri" w:ascii="Calibri" w:hAnsi="Calibri"/>
          <w:b/>
          <w:bCs/>
          <w:rtl w:val="true"/>
        </w:rPr>
        <w:t xml:space="preserve">); </w:t>
      </w:r>
      <w:hyperlink r:id="rId14">
        <w:r>
          <w:rPr>
            <w:rStyle w:val="Hyperlink"/>
            <w:rFonts w:ascii="Calibri" w:hAnsi="Calibri" w:cs="Calibri"/>
            <w:b/>
            <w:b/>
            <w:bCs/>
            <w:color w:val="0000FF"/>
            <w:u w:val="single"/>
            <w:rtl w:val="true"/>
          </w:rPr>
          <w:t>ע</w:t>
        </w:r>
        <w:r>
          <w:rPr>
            <w:rStyle w:val="Hyperlink"/>
            <w:rFonts w:cs="Calibri" w:ascii="Calibri" w:hAnsi="Calibri"/>
            <w:b/>
            <w:bCs/>
            <w:color w:val="0000FF"/>
            <w:u w:val="single"/>
            <w:rtl w:val="true"/>
          </w:rPr>
          <w:t>"</w:t>
        </w:r>
        <w:r>
          <w:rPr>
            <w:rStyle w:val="Hyperlink"/>
            <w:rFonts w:ascii="Calibri" w:hAnsi="Calibri" w:cs="Calibri"/>
            <w:b/>
            <w:b/>
            <w:bCs/>
            <w:color w:val="0000FF"/>
            <w:u w:val="single"/>
            <w:rtl w:val="true"/>
          </w:rPr>
          <w:t>פ</w:t>
        </w:r>
        <w:r>
          <w:rPr>
            <w:rStyle w:val="Hyperlink"/>
            <w:rFonts w:ascii="Calibri" w:hAnsi="Calibri" w:cs="Calibri"/>
            <w:b/>
            <w:b/>
            <w:bCs/>
            <w:color w:val="0000FF"/>
            <w:u w:val="single"/>
            <w:rtl w:val="true"/>
          </w:rPr>
          <w:t xml:space="preserve"> </w:t>
        </w:r>
        <w:r>
          <w:rPr>
            <w:rStyle w:val="Hyperlink"/>
            <w:rFonts w:cs="Calibri" w:ascii="Calibri" w:hAnsi="Calibri"/>
            <w:b/>
            <w:bCs/>
            <w:color w:val="0000FF"/>
            <w:u w:val="single"/>
          </w:rPr>
          <w:t>2422/14</w:t>
        </w:r>
      </w:hyperlink>
      <w:r>
        <w:rPr>
          <w:rFonts w:cs="Calibri" w:ascii="Calibri" w:hAnsi="Calibri"/>
          <w:b/>
          <w:bCs/>
          <w:rtl w:val="true"/>
        </w:rPr>
        <w:t xml:space="preserve"> </w:t>
      </w:r>
      <w:r>
        <w:rPr>
          <w:rFonts w:ascii="Calibri" w:hAnsi="Calibri" w:cs="Calibri"/>
          <w:b/>
          <w:b/>
          <w:bCs/>
          <w:rtl w:val="true"/>
        </w:rPr>
        <w:t>ח</w:t>
      </w:r>
      <w:r>
        <w:rPr>
          <w:rFonts w:cs="Calibri" w:ascii="Calibri" w:hAnsi="Calibri"/>
          <w:b/>
          <w:bCs/>
          <w:rtl w:val="true"/>
        </w:rPr>
        <w:t>'</w:t>
      </w:r>
      <w:r>
        <w:rPr>
          <w:rFonts w:ascii="Calibri" w:hAnsi="Calibri" w:cs="Calibri"/>
          <w:b/>
          <w:b/>
          <w:bCs/>
          <w:rtl w:val="true"/>
        </w:rPr>
        <w:t>דר</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cs="Calibri" w:ascii="Calibri" w:hAnsi="Calibri"/>
          <w:b/>
          <w:bCs/>
          <w:rtl w:val="true"/>
        </w:rPr>
        <w:t xml:space="preserve">, </w:t>
      </w:r>
      <w:r>
        <w:rPr>
          <w:rFonts w:ascii="Calibri" w:hAnsi="Calibri" w:cs="Calibri"/>
          <w:b/>
          <w:b/>
          <w:bCs/>
          <w:rtl w:val="true"/>
        </w:rPr>
        <w:t>פסקה</w:t>
      </w:r>
      <w:r>
        <w:rPr>
          <w:rFonts w:ascii="Calibri" w:hAnsi="Calibri" w:cs="Calibri"/>
          <w:b/>
          <w:b/>
          <w:bCs/>
          <w:rtl w:val="true"/>
        </w:rPr>
        <w:t xml:space="preserve"> </w:t>
      </w:r>
      <w:r>
        <w:rPr>
          <w:rFonts w:cs="Calibri" w:ascii="Calibri" w:hAnsi="Calibri"/>
          <w:b/>
          <w:bCs/>
        </w:rPr>
        <w:t>10</w:t>
      </w:r>
      <w:r>
        <w:rPr>
          <w:rFonts w:cs="Calibri" w:ascii="Calibri" w:hAnsi="Calibri"/>
          <w:b/>
          <w:bCs/>
          <w:rtl w:val="true"/>
        </w:rPr>
        <w:t xml:space="preserve"> (</w:t>
      </w:r>
      <w:r>
        <w:rPr>
          <w:rFonts w:cs="Calibri" w:ascii="Calibri" w:hAnsi="Calibri"/>
          <w:b/>
          <w:bCs/>
        </w:rPr>
        <w:t>21.12.2014</w:t>
      </w:r>
      <w:r>
        <w:rPr>
          <w:rFonts w:cs="Calibri" w:ascii="Calibri" w:hAnsi="Calibri"/>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pPr>
      <w:r>
        <w:rPr>
          <w:rtl w:val="true"/>
        </w:rPr>
      </w:r>
    </w:p>
    <w:p>
      <w:pPr>
        <w:pStyle w:val="Normal"/>
        <w:spacing w:lineRule="auto" w:line="360"/>
        <w:ind w:end="0"/>
        <w:jc w:val="both"/>
        <w:rPr/>
      </w:pPr>
      <w:r>
        <w:rPr>
          <w:rtl w:val="true"/>
        </w:rPr>
        <w:t>מעבר לאמירות עקרוניות אלה</w:t>
      </w:r>
      <w:r>
        <w:rPr>
          <w:rtl w:val="true"/>
        </w:rPr>
        <w:t xml:space="preserve">, </w:t>
      </w:r>
      <w:r>
        <w:rPr>
          <w:rtl w:val="true"/>
        </w:rPr>
        <w:t>ובאופן קונקרטי</w:t>
      </w:r>
      <w:r>
        <w:rPr>
          <w:rtl w:val="true"/>
        </w:rPr>
        <w:t xml:space="preserve">, </w:t>
      </w:r>
      <w:r>
        <w:rPr>
          <w:rtl w:val="true"/>
        </w:rPr>
        <w:t>שומה לתת את הדעת לכמות הגדולה של הנשקים אותה העביר הנאשם דרך המחסומים מעזה לשטחי איו</w:t>
      </w:r>
      <w:r>
        <w:rPr>
          <w:rtl w:val="true"/>
        </w:rPr>
        <w:t>"</w:t>
      </w:r>
      <w:r>
        <w:rPr>
          <w:rtl w:val="true"/>
        </w:rPr>
        <w:t>ש</w:t>
      </w:r>
      <w:r>
        <w:rPr>
          <w:rtl w:val="true"/>
        </w:rPr>
        <w:t xml:space="preserve">: </w:t>
      </w:r>
      <w:r>
        <w:rPr>
          <w:rtl w:val="true"/>
        </w:rPr>
        <w:t xml:space="preserve">באישום הראשון הנאשם העביר </w:t>
      </w:r>
      <w:r>
        <w:rPr/>
        <w:t>5</w:t>
      </w:r>
      <w:r>
        <w:rPr>
          <w:rtl w:val="true"/>
        </w:rPr>
        <w:t xml:space="preserve"> </w:t>
      </w:r>
      <w:r>
        <w:rPr>
          <w:rtl w:val="true"/>
        </w:rPr>
        <w:t>אקדחים</w:t>
      </w:r>
      <w:r>
        <w:rPr>
          <w:rtl w:val="true"/>
        </w:rPr>
        <w:t xml:space="preserve">, </w:t>
      </w:r>
      <w:r>
        <w:rPr>
          <w:rtl w:val="true"/>
        </w:rPr>
        <w:t xml:space="preserve">באישום השני </w:t>
      </w:r>
      <w:r>
        <w:rPr/>
        <w:t>10</w:t>
      </w:r>
      <w:r>
        <w:rPr>
          <w:rtl w:val="true"/>
        </w:rPr>
        <w:t xml:space="preserve"> </w:t>
      </w:r>
      <w:r>
        <w:rPr>
          <w:rtl w:val="true"/>
        </w:rPr>
        <w:t>אקדחים</w:t>
      </w:r>
      <w:r>
        <w:rPr>
          <w:rtl w:val="true"/>
        </w:rPr>
        <w:t xml:space="preserve">, </w:t>
      </w:r>
      <w:r>
        <w:rPr>
          <w:rtl w:val="true"/>
        </w:rPr>
        <w:t xml:space="preserve">ובאישום השלישי מזוודה ובה </w:t>
      </w:r>
      <w:r>
        <w:rPr/>
        <w:t>14</w:t>
      </w:r>
      <w:r>
        <w:rPr>
          <w:rtl w:val="true"/>
        </w:rPr>
        <w:t xml:space="preserve"> </w:t>
      </w:r>
      <w:r>
        <w:rPr>
          <w:rtl w:val="true"/>
        </w:rPr>
        <w:t>אקדחים</w:t>
      </w:r>
      <w:r>
        <w:rPr>
          <w:rtl w:val="true"/>
        </w:rPr>
        <w:t xml:space="preserve">.  </w:t>
      </w:r>
      <w:r>
        <w:rPr>
          <w:rtl w:val="true"/>
        </w:rPr>
        <w:t xml:space="preserve">סך הכל העביר הנאשם </w:t>
      </w:r>
      <w:r>
        <w:rPr/>
        <w:t>29</w:t>
      </w:r>
      <w:r>
        <w:rPr>
          <w:rtl w:val="true"/>
        </w:rPr>
        <w:t xml:space="preserve"> </w:t>
      </w:r>
      <w:r>
        <w:rPr>
          <w:rtl w:val="true"/>
        </w:rPr>
        <w:t>אקדחים מרצועת עזה דרך מדינת ישראל לשטחי הרשות הפלסטינית</w:t>
      </w:r>
      <w:r>
        <w:rPr>
          <w:rtl w:val="true"/>
        </w:rPr>
        <w:t xml:space="preserve">. </w:t>
      </w:r>
      <w:r>
        <w:rPr>
          <w:rtl w:val="true"/>
        </w:rPr>
        <w:t>העברת האקדחים נעשתה ב</w:t>
      </w:r>
      <w:r>
        <w:rPr>
          <w:rtl w:val="true"/>
        </w:rPr>
        <w:t>-</w:t>
      </w:r>
      <w:r>
        <w:rPr/>
        <w:t>3</w:t>
      </w:r>
      <w:r>
        <w:rPr>
          <w:rtl w:val="true"/>
        </w:rPr>
        <w:t xml:space="preserve"> </w:t>
      </w:r>
      <w:r>
        <w:rPr>
          <w:rtl w:val="true"/>
        </w:rPr>
        <w:t>הזדמנויות שונות שנפרסו על פני חודש ימים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הדגש בעבירות נשק הוא על הסיכון הפוטנציאלי הרב הגלום בהם והחשש שיעשה שימוש באותם נשקים</w:t>
      </w:r>
      <w:r>
        <w:rPr>
          <w:rtl w:val="true"/>
        </w:rPr>
        <w:t xml:space="preserve">, </w:t>
      </w:r>
      <w:r>
        <w:rPr>
          <w:rtl w:val="true"/>
        </w:rPr>
        <w:t>על ידי גורמים פליליים או גורמי טרור</w:t>
      </w:r>
      <w:r>
        <w:rPr>
          <w:rtl w:val="true"/>
        </w:rPr>
        <w:t xml:space="preserve">. </w:t>
      </w:r>
      <w:r>
        <w:rPr>
          <w:rtl w:val="true"/>
        </w:rPr>
        <w:t>בענייננו</w:t>
      </w:r>
      <w:r>
        <w:rPr>
          <w:rtl w:val="true"/>
        </w:rPr>
        <w:t xml:space="preserve">, </w:t>
      </w:r>
      <w:r>
        <w:rPr>
          <w:rtl w:val="true"/>
        </w:rPr>
        <w:t>העברת הנשקים לשטחי איו</w:t>
      </w:r>
      <w:r>
        <w:rPr>
          <w:rtl w:val="true"/>
        </w:rPr>
        <w:t>"</w:t>
      </w:r>
      <w:r>
        <w:rPr>
          <w:rtl w:val="true"/>
        </w:rPr>
        <w:t>ש מגלמת בתוכה סכנה רבה שיעשה בהם שימוש כלפי כוחות הביטחון או כלפי האוכלוסייה אזרחית</w:t>
      </w:r>
      <w:r>
        <w:rPr>
          <w:rtl w:val="true"/>
        </w:rPr>
        <w:t xml:space="preserve">. </w:t>
      </w:r>
      <w:r>
        <w:rPr>
          <w:rtl w:val="true"/>
        </w:rPr>
        <w:t>בהקשר לאמור ראה דברי בית המשפט העליון ב</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2403/11</w:t>
        </w:r>
      </w:hyperlink>
      <w:r>
        <w:rPr>
          <w:rtl w:val="true"/>
        </w:rPr>
        <w:t xml:space="preserve"> </w:t>
      </w:r>
      <w:r>
        <w:rPr>
          <w:rtl w:val="true"/>
        </w:rPr>
        <w:t>אבו סעלוק נ</w:t>
      </w:r>
      <w:r>
        <w:rPr>
          <w:rtl w:val="true"/>
        </w:rPr>
        <w:t xml:space="preserve">' </w:t>
      </w:r>
      <w:r>
        <w:rPr>
          <w:rtl w:val="true"/>
        </w:rPr>
        <w:t>מדינת ישראל</w:t>
      </w:r>
      <w:r>
        <w:rPr>
          <w:rtl w:val="true"/>
        </w:rPr>
        <w:t xml:space="preserve">: </w:t>
      </w:r>
    </w:p>
    <w:p>
      <w:pPr>
        <w:pStyle w:val="Normal"/>
        <w:ind w:start="567" w:end="709"/>
        <w:jc w:val="both"/>
        <w:rPr/>
      </w:pPr>
      <w:r>
        <w:rPr>
          <w:rtl w:val="true"/>
        </w:rPr>
        <w:t>"...</w:t>
      </w:r>
      <w:r>
        <w:rPr>
          <w:b/>
          <w:b/>
          <w:bCs/>
          <w:rtl w:val="true"/>
        </w:rPr>
        <w:t>המערער אף עסק בייבוא וייצוא מוצרים קטלניים</w:t>
      </w:r>
      <w:r>
        <w:rPr>
          <w:b/>
          <w:bCs/>
          <w:rtl w:val="true"/>
        </w:rPr>
        <w:t xml:space="preserve">. </w:t>
      </w:r>
      <w:r>
        <w:rPr>
          <w:b/>
          <w:b/>
          <w:bCs/>
          <w:rtl w:val="true"/>
        </w:rPr>
        <w:t>המערער  לא נרתע מהעברת נשקים לגורמים בשטחי הרשות הפלסטינאית או בייבוא נשקים משטחה לתוך שטח מדינת ישראל</w:t>
      </w:r>
      <w:r>
        <w:rPr>
          <w:b/>
          <w:bCs/>
          <w:rtl w:val="true"/>
        </w:rPr>
        <w:t xml:space="preserve">. </w:t>
      </w:r>
      <w:r>
        <w:rPr>
          <w:b/>
          <w:b/>
          <w:bCs/>
          <w:rtl w:val="true"/>
        </w:rPr>
        <w:t>רשת הקשרים שטווה סביבו כללה אף גורמים עויינים לכאורה בשטחי הרשות</w:t>
      </w:r>
      <w:r>
        <w:rPr>
          <w:b/>
          <w:bCs/>
          <w:rtl w:val="true"/>
        </w:rPr>
        <w:t xml:space="preserve">. </w:t>
      </w:r>
      <w:r>
        <w:rPr>
          <w:b/>
          <w:b/>
          <w:bCs/>
          <w:rtl w:val="true"/>
        </w:rPr>
        <w:t>כבר נפסק שכאשר מדובר בסחר בנשק עם קבוצות עבריינים ברשות הפלסטינאית הדבר מחייב ענישה מחמירה</w:t>
      </w:r>
      <w:r>
        <w:rPr>
          <w:b/>
          <w:bCs/>
          <w:rtl w:val="true"/>
        </w:rPr>
        <w:t xml:space="preserve">. </w:t>
      </w:r>
      <w:r>
        <w:rPr>
          <w:b/>
          <w:b/>
          <w:bCs/>
          <w:rtl w:val="true"/>
        </w:rPr>
        <w:t>במקרים אלה</w:t>
      </w:r>
      <w:r>
        <w:rPr>
          <w:b/>
          <w:bCs/>
          <w:rtl w:val="true"/>
        </w:rPr>
        <w:t xml:space="preserve">, </w:t>
      </w:r>
      <w:r>
        <w:rPr>
          <w:b/>
          <w:b/>
          <w:bCs/>
          <w:rtl w:val="true"/>
        </w:rPr>
        <w:t>אמנם לא תמיד ניתן לדעת אם כלי הנשק הועברו לגורמי טרור המצויים בשטחי הרשות אך עולה כי עצם הסחר עם גורמים ברשות נושא סכנות במובן זה שאין שליטה לאן הנשק יתגלגל לבסוף</w:t>
      </w:r>
      <w:r>
        <w:rPr>
          <w:b/>
          <w:bCs/>
          <w:rtl w:val="true"/>
        </w:rPr>
        <w:t xml:space="preserve">. </w:t>
      </w:r>
      <w:r>
        <w:rPr>
          <w:b/>
          <w:b/>
          <w:bCs/>
          <w:rtl w:val="true"/>
        </w:rPr>
        <w:t>העניין דומה לעבירת הצתה שתחילתה ידועה היא וסופה מי ישורנה</w:t>
      </w:r>
      <w:r>
        <w:rPr>
          <w:b/>
          <w:bCs/>
          <w:rtl w:val="true"/>
        </w:rPr>
        <w:t xml:space="preserve">. </w:t>
      </w:r>
      <w:r>
        <w:rPr>
          <w:b/>
          <w:b/>
          <w:bCs/>
          <w:rtl w:val="true"/>
        </w:rPr>
        <w:t>באותם מקרים עלולים הנשקים להגיע לגורמי טרור העויינים את מדינת ישראל ואזרחיה</w:t>
      </w:r>
      <w:r>
        <w:rPr>
          <w:b/>
          <w:bCs/>
          <w:rtl w:val="true"/>
        </w:rPr>
        <w:t xml:space="preserve">. </w:t>
      </w:r>
      <w:r>
        <w:rPr>
          <w:b/>
          <w:b/>
          <w:bCs/>
          <w:rtl w:val="true"/>
        </w:rPr>
        <w:t>בכל מקרה</w:t>
      </w:r>
      <w:r>
        <w:rPr>
          <w:b/>
          <w:bCs/>
          <w:rtl w:val="true"/>
        </w:rPr>
        <w:t xml:space="preserve">, </w:t>
      </w:r>
      <w:r>
        <w:rPr>
          <w:b/>
          <w:b/>
          <w:bCs/>
          <w:rtl w:val="true"/>
        </w:rPr>
        <w:t>כאמור</w:t>
      </w:r>
      <w:r>
        <w:rPr>
          <w:b/>
          <w:bCs/>
          <w:rtl w:val="true"/>
        </w:rPr>
        <w:t xml:space="preserve">, </w:t>
      </w:r>
      <w:r>
        <w:rPr>
          <w:b/>
          <w:b/>
          <w:bCs/>
          <w:rtl w:val="true"/>
        </w:rPr>
        <w:t>בסחר בלתי חוקי בנשק ברור כי הנשקים אינם מיועדים למטרות כשרות אלא לפעילות עבריינית בגרעין הקשה</w:t>
      </w:r>
      <w:r>
        <w:rPr>
          <w:rtl w:val="true"/>
        </w:rPr>
        <w:t>"</w:t>
      </w:r>
    </w:p>
    <w:p>
      <w:pPr>
        <w:pStyle w:val="Normal"/>
        <w:ind w:end="0"/>
        <w:jc w:val="both"/>
        <w:rPr/>
      </w:pPr>
      <w:r>
        <w:rPr>
          <w:rtl w:val="true"/>
        </w:rPr>
      </w:r>
    </w:p>
    <w:p>
      <w:pPr>
        <w:pStyle w:val="Normal"/>
        <w:ind w:end="0"/>
        <w:jc w:val="both"/>
        <w:rPr/>
      </w:pPr>
      <w:r>
        <w:rPr>
          <w:rtl w:val="true"/>
        </w:rPr>
      </w:r>
    </w:p>
    <w:p>
      <w:pPr>
        <w:pStyle w:val="Normal"/>
        <w:spacing w:lineRule="auto" w:line="360"/>
        <w:ind w:end="0"/>
        <w:jc w:val="both"/>
        <w:rPr/>
      </w:pPr>
      <w:r>
        <w:rPr>
          <w:rtl w:val="true"/>
        </w:rPr>
        <w:t>במסגרת הטיעונים לעונש</w:t>
      </w:r>
      <w:r>
        <w:rPr>
          <w:rtl w:val="true"/>
        </w:rPr>
        <w:t xml:space="preserve">, </w:t>
      </w:r>
      <w:r>
        <w:rPr>
          <w:rtl w:val="true"/>
        </w:rPr>
        <w:t>נטען על ידי ההגנה</w:t>
      </w:r>
      <w:r>
        <w:rPr>
          <w:rtl w:val="true"/>
        </w:rPr>
        <w:t xml:space="preserve">, </w:t>
      </w:r>
      <w:r>
        <w:rPr>
          <w:rtl w:val="true"/>
        </w:rPr>
        <w:t>כי הנאשם נשלח לעבודתו באחד המקומות המסוכנים בעולם</w:t>
      </w:r>
      <w:r>
        <w:rPr>
          <w:rtl w:val="true"/>
        </w:rPr>
        <w:t xml:space="preserve">, </w:t>
      </w:r>
      <w:r>
        <w:rPr>
          <w:rtl w:val="true"/>
        </w:rPr>
        <w:t>ללא הכשרה מתאימה כאשר רק בחקירותיו בשב</w:t>
      </w:r>
      <w:r>
        <w:rPr>
          <w:rtl w:val="true"/>
        </w:rPr>
        <w:t>"</w:t>
      </w:r>
      <w:r>
        <w:rPr>
          <w:rtl w:val="true"/>
        </w:rPr>
        <w:t>כ הבין את משמעות מעשיו</w:t>
      </w:r>
      <w:r>
        <w:rPr>
          <w:rtl w:val="true"/>
        </w:rPr>
        <w:t xml:space="preserve">.  </w:t>
      </w:r>
      <w:r>
        <w:rPr>
          <w:rtl w:val="true"/>
        </w:rPr>
        <w:t>טיעון זה</w:t>
      </w:r>
      <w:r>
        <w:rPr>
          <w:rtl w:val="true"/>
        </w:rPr>
        <w:t xml:space="preserve">, </w:t>
      </w:r>
      <w:r>
        <w:rPr>
          <w:rtl w:val="true"/>
        </w:rPr>
        <w:t>בית משפט מתקשה לקבל</w:t>
      </w:r>
      <w:r>
        <w:rPr>
          <w:rtl w:val="true"/>
        </w:rPr>
        <w:t xml:space="preserve">. </w:t>
      </w:r>
      <w:r>
        <w:rPr>
          <w:rtl w:val="true"/>
        </w:rPr>
        <w:t>גם אם אכן התיאור העובדתי ביחס להכשרות שעבר הנאשם</w:t>
      </w:r>
      <w:r>
        <w:rPr>
          <w:rtl w:val="true"/>
        </w:rPr>
        <w:t xml:space="preserve">, </w:t>
      </w:r>
      <w:r>
        <w:rPr>
          <w:rtl w:val="true"/>
        </w:rPr>
        <w:t>משקף את הדברים כהוויתם</w:t>
      </w:r>
      <w:r>
        <w:rPr>
          <w:rtl w:val="true"/>
        </w:rPr>
        <w:t xml:space="preserve">, </w:t>
      </w:r>
      <w:r>
        <w:rPr>
          <w:rtl w:val="true"/>
        </w:rPr>
        <w:t>אין צורך להיות בוגר האקדמיה הצבאית</w:t>
      </w:r>
      <w:r>
        <w:rPr>
          <w:sz w:val="20"/>
          <w:szCs w:val="20"/>
        </w:rPr>
        <w:t>WEST POINT</w:t>
      </w:r>
      <w:r>
        <w:rPr>
          <w:rtl w:val="true"/>
        </w:rPr>
        <w:t xml:space="preserve"> </w:t>
      </w:r>
      <w:r>
        <w:rPr>
          <w:rtl w:val="true"/>
        </w:rPr>
        <w:t xml:space="preserve"> </w:t>
      </w:r>
      <w:r>
        <w:rPr>
          <w:rtl w:val="true"/>
        </w:rPr>
        <w:t>כדי להבין את המשמעות של העברת כמות עצומה של נשקים מתחת לעיניהם הפקוחה של גורמי אכיפת החוק</w:t>
      </w:r>
      <w:r>
        <w:rPr>
          <w:rtl w:val="true"/>
        </w:rPr>
        <w:t xml:space="preserve">. </w:t>
      </w:r>
      <w:r>
        <w:rPr>
          <w:rtl w:val="true"/>
        </w:rPr>
        <w:t>כך גם אין צורך להיות בוגר תואר ראשון ביחסים בינלאומיים</w:t>
      </w:r>
      <w:r>
        <w:rPr>
          <w:rtl w:val="true"/>
        </w:rPr>
        <w:t xml:space="preserve">, </w:t>
      </w:r>
      <w:r>
        <w:rPr>
          <w:rtl w:val="true"/>
        </w:rPr>
        <w:t>כדי להבין שהעברת כמות עצומה של אקדחים מעזה לשטחי איו</w:t>
      </w:r>
      <w:r>
        <w:rPr>
          <w:rtl w:val="true"/>
        </w:rPr>
        <w:t>"</w:t>
      </w:r>
      <w:r>
        <w:rPr>
          <w:rtl w:val="true"/>
        </w:rPr>
        <w:t>ש אינה נעשית לצורכי שלום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ודוק</w:t>
      </w:r>
      <w:r>
        <w:rPr>
          <w:rtl w:val="true"/>
        </w:rPr>
        <w:t xml:space="preserve">, </w:t>
      </w:r>
      <w:r>
        <w:rPr>
          <w:rtl w:val="true"/>
        </w:rPr>
        <w:t>לא רק כמות האמל</w:t>
      </w:r>
      <w:r>
        <w:rPr>
          <w:rtl w:val="true"/>
        </w:rPr>
        <w:t>"</w:t>
      </w:r>
      <w:r>
        <w:rPr>
          <w:rtl w:val="true"/>
        </w:rPr>
        <w:t>ח</w:t>
      </w:r>
      <w:r>
        <w:rPr>
          <w:rtl w:val="true"/>
        </w:rPr>
        <w:t xml:space="preserve">, </w:t>
      </w:r>
      <w:r>
        <w:rPr>
          <w:rtl w:val="true"/>
        </w:rPr>
        <w:t>סוגו</w:t>
      </w:r>
      <w:r>
        <w:rPr>
          <w:rtl w:val="true"/>
        </w:rPr>
        <w:t xml:space="preserve">, </w:t>
      </w:r>
      <w:r>
        <w:rPr>
          <w:rtl w:val="true"/>
        </w:rPr>
        <w:t>ויעדו פועלים לחובת הנאשם אלא גם השימוש המודע שזה עשה במעמדו הקונסולרי לצורך העברת הנשקים במחסומי הבידוק</w:t>
      </w:r>
      <w:r>
        <w:rPr>
          <w:rtl w:val="true"/>
        </w:rPr>
        <w:t xml:space="preserve">. </w:t>
      </w:r>
      <w:r>
        <w:rPr>
          <w:rtl w:val="true"/>
        </w:rPr>
        <w:t>כפי המתואר</w:t>
      </w:r>
      <w:r>
        <w:rPr>
          <w:rtl w:val="true"/>
        </w:rPr>
        <w:t xml:space="preserve">, </w:t>
      </w:r>
      <w:r>
        <w:rPr>
          <w:rtl w:val="true"/>
        </w:rPr>
        <w:t>בכל אחת מהפעמים בהם הנאשם העביר נשק</w:t>
      </w:r>
      <w:r>
        <w:rPr>
          <w:rtl w:val="true"/>
        </w:rPr>
        <w:t xml:space="preserve">, </w:t>
      </w:r>
      <w:r>
        <w:rPr>
          <w:rtl w:val="true"/>
        </w:rPr>
        <w:t xml:space="preserve">הדבר נעשה תוך ניצול העובדה שמתוקף היותו עובד הקונסוליה הצרפתית </w:t>
      </w:r>
      <w:r>
        <w:rPr>
          <w:rtl w:val="true"/>
        </w:rPr>
        <w:t>(</w:t>
      </w:r>
      <w:r>
        <w:rPr>
          <w:rtl w:val="true"/>
        </w:rPr>
        <w:t>הנוהג ברכב הנושא לוחית רישוי קונסולרית</w:t>
      </w:r>
      <w:r>
        <w:rPr>
          <w:rtl w:val="true"/>
        </w:rPr>
        <w:t xml:space="preserve">), </w:t>
      </w:r>
      <w:r>
        <w:rPr>
          <w:rtl w:val="true"/>
        </w:rPr>
        <w:t>הוא לא נדרש לעבור בדיקות פיזיות דקדקניות כפי שנעשה על דרך הכלל</w:t>
      </w:r>
      <w:r>
        <w:rPr>
          <w:rtl w:val="true"/>
        </w:rPr>
        <w:t xml:space="preserve">.  </w:t>
      </w:r>
      <w:r>
        <w:rPr>
          <w:rtl w:val="true"/>
        </w:rPr>
        <w:t>הנאשם לא הסתפק בנהיגה ברכב</w:t>
      </w:r>
      <w:r>
        <w:rPr>
          <w:rtl w:val="true"/>
        </w:rPr>
        <w:t xml:space="preserve">, </w:t>
      </w:r>
      <w:r>
        <w:rPr>
          <w:rtl w:val="true"/>
        </w:rPr>
        <w:t>אלא באופן אקטיבי</w:t>
      </w:r>
      <w:r>
        <w:rPr>
          <w:rtl w:val="true"/>
        </w:rPr>
        <w:t xml:space="preserve">, </w:t>
      </w:r>
      <w:r>
        <w:rPr>
          <w:rtl w:val="true"/>
        </w:rPr>
        <w:t>מסר בכזב לבודקים כי התיקים ברכב שייכים לו וכי אין ברשותו נשק</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בהקשר לכך</w:t>
      </w:r>
      <w:r>
        <w:rPr>
          <w:rtl w:val="true"/>
        </w:rPr>
        <w:t xml:space="preserve">, </w:t>
      </w:r>
      <w:r>
        <w:rPr>
          <w:rtl w:val="true"/>
        </w:rPr>
        <w:t>דיפלומטים כמו גם קונסולים נהנים ממעמד מיוחד במדינה בה הם משרתים</w:t>
      </w:r>
      <w:r>
        <w:rPr>
          <w:rtl w:val="true"/>
        </w:rPr>
        <w:t xml:space="preserve">. </w:t>
      </w:r>
      <w:r>
        <w:rPr>
          <w:rtl w:val="true"/>
        </w:rPr>
        <w:t>מעמד מיוחד זה נשמר גם כאשר מדובר בכאלה המשרתים באזורי מלחמה או כאלה המאופיינים במתיחות ביטחונית</w:t>
      </w:r>
      <w:r>
        <w:rPr>
          <w:rtl w:val="true"/>
        </w:rPr>
        <w:t xml:space="preserve">. </w:t>
      </w:r>
      <w:r>
        <w:rPr>
          <w:rtl w:val="true"/>
        </w:rPr>
        <w:t>ההכרה בחשיבות עבודתם של דיפלומטים ועובדי קונסוליה הביאה לכך</w:t>
      </w:r>
      <w:r>
        <w:rPr>
          <w:rtl w:val="true"/>
        </w:rPr>
        <w:t xml:space="preserve">, </w:t>
      </w:r>
      <w:r>
        <w:rPr>
          <w:rtl w:val="true"/>
        </w:rPr>
        <w:t>שעל דרך הכלל אלה אף נהנים מחסינות מפני העמדה לדין</w:t>
      </w:r>
      <w:r>
        <w:rPr>
          <w:rtl w:val="true"/>
        </w:rPr>
        <w:t xml:space="preserve">. </w:t>
      </w:r>
      <w:r>
        <w:rPr>
          <w:rtl w:val="true"/>
        </w:rPr>
        <w:t>כגודל המעמד והאמון</w:t>
      </w:r>
      <w:r>
        <w:rPr>
          <w:rtl w:val="true"/>
        </w:rPr>
        <w:t xml:space="preserve">, </w:t>
      </w:r>
      <w:r>
        <w:rPr>
          <w:rtl w:val="true"/>
        </w:rPr>
        <w:t>כך גם החומרה הנלווית להפרתם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הניצול הציני שעשה הנאשם במעמדו כעובד קונסוליה יש בו מבחינה פוטנציאלית לפגוע גם במרקם מערכת היחסים שבין המדינה לבין עובדי קונסוליה המשרתים בה</w:t>
      </w:r>
      <w:r>
        <w:rPr>
          <w:rtl w:val="true"/>
        </w:rPr>
        <w:t xml:space="preserve">. </w:t>
      </w:r>
      <w:r>
        <w:rPr>
          <w:rtl w:val="true"/>
        </w:rPr>
        <w:t>כך למשל</w:t>
      </w:r>
      <w:r>
        <w:rPr>
          <w:rtl w:val="true"/>
        </w:rPr>
        <w:t xml:space="preserve">, </w:t>
      </w:r>
      <w:r>
        <w:rPr>
          <w:rtl w:val="true"/>
        </w:rPr>
        <w:t>יכול ובעקבות מעשים כדוגמת אלה של הנאשם</w:t>
      </w:r>
      <w:r>
        <w:rPr>
          <w:rtl w:val="true"/>
        </w:rPr>
        <w:t xml:space="preserve">, </w:t>
      </w:r>
      <w:r>
        <w:rPr>
          <w:rtl w:val="true"/>
        </w:rPr>
        <w:t>הבדיקות הפיזיות שתערכנה בעתיד לרכבים קונסולריים היוצאים ונכנסים מעזה ומשטחי איו</w:t>
      </w:r>
      <w:r>
        <w:rPr>
          <w:rtl w:val="true"/>
        </w:rPr>
        <w:t>"</w:t>
      </w:r>
      <w:r>
        <w:rPr>
          <w:rtl w:val="true"/>
        </w:rPr>
        <w:t>ש תהיינה מדוקדקות יותר</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לכל אלה יש להוסיף שבתמורה לחלקו</w:t>
      </w:r>
      <w:r>
        <w:rPr>
          <w:rtl w:val="true"/>
        </w:rPr>
        <w:t xml:space="preserve">, </w:t>
      </w:r>
      <w:r>
        <w:rPr>
          <w:rtl w:val="true"/>
        </w:rPr>
        <w:t xml:space="preserve">הנאשם קיבל </w:t>
      </w:r>
      <w:r>
        <w:rPr/>
        <w:t>26,000</w:t>
      </w:r>
      <w:r>
        <w:rPr>
          <w:rtl w:val="true"/>
        </w:rPr>
        <w:t xml:space="preserve"> ₪, </w:t>
      </w:r>
      <w:r>
        <w:rPr>
          <w:rtl w:val="true"/>
        </w:rPr>
        <w:t>סכום כסף לא מבוטל הרחוק מלהיות צנוע כפי שנטען על ידי ההגנה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יש בכל המפורט לעיל</w:t>
      </w:r>
      <w:r>
        <w:rPr>
          <w:rtl w:val="true"/>
        </w:rPr>
        <w:t xml:space="preserve">, </w:t>
      </w:r>
      <w:r>
        <w:rPr>
          <w:rtl w:val="true"/>
        </w:rPr>
        <w:t>כדי ללמד שהעונש המוסכם בין הצדדים של שבע שנות מאסר</w:t>
      </w:r>
      <w:r>
        <w:rPr>
          <w:rtl w:val="true"/>
        </w:rPr>
        <w:t xml:space="preserve">, </w:t>
      </w:r>
      <w:r>
        <w:rPr>
          <w:rtl w:val="true"/>
        </w:rPr>
        <w:t>גם אם אינו קל בפני עצמו יש בו כדי להקל עם הנאשם ואף הקלה משמעותית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הגם כך</w:t>
      </w:r>
      <w:r>
        <w:rPr>
          <w:rtl w:val="true"/>
        </w:rPr>
        <w:t xml:space="preserve">, </w:t>
      </w:r>
      <w:r>
        <w:rPr>
          <w:rtl w:val="true"/>
        </w:rPr>
        <w:t>אכבד את ההסדר</w:t>
      </w:r>
      <w:r>
        <w:rPr>
          <w:rtl w:val="true"/>
        </w:rPr>
        <w:t xml:space="preserve">, </w:t>
      </w:r>
      <w:r>
        <w:rPr>
          <w:rtl w:val="true"/>
        </w:rPr>
        <w:t>וזאת מהטעמים הבאים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ראשית</w:t>
      </w:r>
      <w:r>
        <w:rPr>
          <w:rtl w:val="true"/>
        </w:rPr>
        <w:t xml:space="preserve">, </w:t>
      </w:r>
      <w:r>
        <w:rPr>
          <w:rtl w:val="true"/>
        </w:rPr>
        <w:t>מדובר בנאשם שהודה במרבית המיוחס לו</w:t>
      </w:r>
      <w:r>
        <w:rPr>
          <w:rtl w:val="true"/>
        </w:rPr>
        <w:t xml:space="preserve">.  </w:t>
      </w:r>
      <w:r>
        <w:rPr>
          <w:rtl w:val="true"/>
        </w:rPr>
        <w:t>גם אם הודאה זו</w:t>
      </w:r>
      <w:r>
        <w:rPr>
          <w:rtl w:val="true"/>
        </w:rPr>
        <w:t xml:space="preserve">, </w:t>
      </w:r>
      <w:r>
        <w:rPr>
          <w:rtl w:val="true"/>
        </w:rPr>
        <w:t>הגיעה לאחר שמיעתם של חלק מהראיות</w:t>
      </w:r>
      <w:r>
        <w:rPr>
          <w:rtl w:val="true"/>
        </w:rPr>
        <w:t xml:space="preserve">, </w:t>
      </w:r>
      <w:r>
        <w:rPr>
          <w:rtl w:val="true"/>
        </w:rPr>
        <w:t>עדיין יש בהודאה זו משום חסכון בזמן שיפוטי יקר נוכח רשימת עדי התביעה הארוכה</w:t>
      </w:r>
      <w:r>
        <w:rPr>
          <w:rtl w:val="true"/>
        </w:rPr>
        <w:t xml:space="preserve">, </w:t>
      </w:r>
      <w:r>
        <w:rPr>
          <w:rtl w:val="true"/>
        </w:rPr>
        <w:t>ופרשת ההגנה שצפויה הייתה לכלול זימונם של חוקרי שב</w:t>
      </w:r>
      <w:r>
        <w:rPr>
          <w:rtl w:val="true"/>
        </w:rPr>
        <w:t>"</w:t>
      </w:r>
      <w:r>
        <w:rPr>
          <w:rtl w:val="true"/>
        </w:rPr>
        <w:t>כ על המשמעויות הנגזרות מכך</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להודעה זו נלווים גם חרטה ונטילת אחריות</w:t>
      </w:r>
      <w:r>
        <w:rPr>
          <w:rtl w:val="true"/>
        </w:rPr>
        <w:t xml:space="preserve">.  </w:t>
      </w:r>
      <w:r>
        <w:rPr>
          <w:rtl w:val="true"/>
        </w:rPr>
        <w:t>הדברים מוצאים ביטויים לא רק באמירות של הנאשם אלא גם באופן שבו זה כפי הנלמד שיתף פעולה עם חוקריו כבר בראשיתה של החקירה</w:t>
      </w:r>
      <w:r>
        <w:rPr>
          <w:rtl w:val="true"/>
        </w:rPr>
        <w:t xml:space="preserve">. </w:t>
      </w:r>
      <w:r>
        <w:rPr>
          <w:rtl w:val="true"/>
        </w:rPr>
        <w:t>נטען כי זה פירט את חלקו והוסיף אף מעבר למה שנשאל</w:t>
      </w:r>
      <w:r>
        <w:rPr>
          <w:rtl w:val="true"/>
        </w:rPr>
        <w:t xml:space="preserve">. </w:t>
      </w:r>
      <w:r>
        <w:rPr>
          <w:rtl w:val="true"/>
        </w:rPr>
        <w:t>בכך סייע הנאשם למצות את הדין ולקבל תמונה ראייתית ברורה ביחס למכלול ההתארגנות העבריינית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משקל לא מבוטל יש לתת לכך שהנאשם לא פעל מתוך מניעים אידיאולוגיים או מתוך כוונה לפגוע בביטחון המדינה</w:t>
      </w:r>
      <w:r>
        <w:rPr>
          <w:rtl w:val="true"/>
        </w:rPr>
        <w:t xml:space="preserve">. </w:t>
      </w:r>
      <w:r>
        <w:rPr>
          <w:rtl w:val="true"/>
        </w:rPr>
        <w:t>הדברים אמורים גם אם מבחינה פוטנציאלית מעשים שכאלה יכולים להוביל לפגיעה שכזו</w:t>
      </w:r>
      <w:r>
        <w:rPr>
          <w:rtl w:val="true"/>
        </w:rPr>
        <w:t xml:space="preserve">. </w:t>
      </w:r>
      <w:r>
        <w:rPr>
          <w:rtl w:val="true"/>
        </w:rPr>
        <w:t>הנאשם לא היה מעורב בכל דרך שהיא בסחר שנעשה בהמשכם של דברים באותם נשקים וממילא גם לא קיבל את התמורה בגין אותו סחר</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מדובר בנאשם צעיר נעדר עבר פלילי</w:t>
      </w:r>
      <w:r>
        <w:rPr>
          <w:rtl w:val="true"/>
        </w:rPr>
        <w:t xml:space="preserve">, </w:t>
      </w:r>
      <w:r>
        <w:rPr>
          <w:rtl w:val="true"/>
        </w:rPr>
        <w:t xml:space="preserve">בן  </w:t>
      </w:r>
      <w:r>
        <w:rPr/>
        <w:t>24</w:t>
      </w:r>
      <w:r>
        <w:rPr>
          <w:rtl w:val="true"/>
        </w:rPr>
        <w:t xml:space="preserve"> </w:t>
      </w:r>
      <w:r>
        <w:rPr>
          <w:rtl w:val="true"/>
        </w:rPr>
        <w:t>שזוהי לו הסתבכותו הראשונה בפלילים</w:t>
      </w:r>
      <w:r>
        <w:rPr>
          <w:rtl w:val="true"/>
        </w:rPr>
        <w:t xml:space="preserve">. </w:t>
      </w:r>
      <w:r>
        <w:rPr>
          <w:rtl w:val="true"/>
        </w:rPr>
        <w:t>כפי הנלמד מטיעוני ההגנה וכך מאסופת המסמכים שהוגשה לביהמ</w:t>
      </w:r>
      <w:r>
        <w:rPr>
          <w:rtl w:val="true"/>
        </w:rPr>
        <w:t>"</w:t>
      </w:r>
      <w:r>
        <w:rPr>
          <w:rtl w:val="true"/>
        </w:rPr>
        <w:t>ש הנאשם ניהל אורח חיים נורמטיבי היה אהוד ומקובל על סביבתו ואף התנדב ככבאי בקהילה שבה גדל</w:t>
      </w:r>
      <w:r>
        <w:rPr>
          <w:rtl w:val="true"/>
        </w:rPr>
        <w:t xml:space="preserve">. </w:t>
      </w:r>
      <w:r>
        <w:rPr>
          <w:rtl w:val="true"/>
        </w:rPr>
        <w:t>מאפיינים אלו</w:t>
      </w:r>
      <w:r>
        <w:rPr>
          <w:rtl w:val="true"/>
        </w:rPr>
        <w:t xml:space="preserve">, </w:t>
      </w:r>
      <w:r>
        <w:rPr>
          <w:rtl w:val="true"/>
        </w:rPr>
        <w:t>מעבר למשמעותם הבסיסית מובילים לכך שלמעצרו כמו גם למאסרו לראשונה בחייו אפקט מרתיע</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הנאשם ללא משפחה או חברים בארץ</w:t>
      </w:r>
      <w:r>
        <w:rPr>
          <w:rtl w:val="true"/>
        </w:rPr>
        <w:t xml:space="preserve">. </w:t>
      </w:r>
      <w:r>
        <w:rPr>
          <w:rtl w:val="true"/>
        </w:rPr>
        <w:t>הנאשם דובר צרפתית ובפיו אנגלית רצוצה</w:t>
      </w:r>
      <w:r>
        <w:rPr>
          <w:rtl w:val="true"/>
        </w:rPr>
        <w:t xml:space="preserve">. </w:t>
      </w:r>
      <w:r>
        <w:rPr>
          <w:rtl w:val="true"/>
        </w:rPr>
        <w:t>משכך</w:t>
      </w:r>
      <w:r>
        <w:rPr>
          <w:rtl w:val="true"/>
        </w:rPr>
        <w:t xml:space="preserve">, </w:t>
      </w:r>
      <w:r>
        <w:rPr>
          <w:rtl w:val="true"/>
        </w:rPr>
        <w:t>בהעדר מעטפת משפחתית תומכת לצד קשיי תקשורת ושפה</w:t>
      </w:r>
      <w:r>
        <w:rPr>
          <w:rtl w:val="true"/>
        </w:rPr>
        <w:t xml:space="preserve">, </w:t>
      </w:r>
      <w:r>
        <w:rPr>
          <w:rtl w:val="true"/>
        </w:rPr>
        <w:t>מעצרו ומאסרו קשים אף יותר מאשר על דרך הכלל</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גם אם מדובר בעונש מקל</w:t>
      </w:r>
      <w:r>
        <w:rPr>
          <w:rtl w:val="true"/>
        </w:rPr>
        <w:t xml:space="preserve">, </w:t>
      </w:r>
      <w:r>
        <w:rPr>
          <w:rtl w:val="true"/>
        </w:rPr>
        <w:t>בסופם של דברים</w:t>
      </w:r>
      <w:r>
        <w:rPr>
          <w:rtl w:val="true"/>
        </w:rPr>
        <w:t xml:space="preserve">, </w:t>
      </w:r>
      <w:r>
        <w:rPr>
          <w:rtl w:val="true"/>
        </w:rPr>
        <w:t>המדובר בתקופת מאסר לא קצרה שעומדת בהלימה עם עונשים שנגזרו על מעורבים אחרים תוך ביצוע האבחנה מתבקשת בשים לב לחלקו של הנאשם</w:t>
      </w:r>
      <w:r>
        <w:rPr>
          <w:rtl w:val="true"/>
        </w:rPr>
        <w:t xml:space="preserve">. </w:t>
      </w:r>
      <w:r>
        <w:rPr>
          <w:rtl w:val="true"/>
        </w:rPr>
        <w:t>ההסדר הושג לאחר הליך גישור שהתקיים בפני כב</w:t>
      </w:r>
      <w:r>
        <w:rPr>
          <w:rtl w:val="true"/>
        </w:rPr>
        <w:t xml:space="preserve">' </w:t>
      </w:r>
      <w:r>
        <w:rPr>
          <w:rtl w:val="true"/>
        </w:rPr>
        <w:t>ס</w:t>
      </w:r>
      <w:r>
        <w:rPr>
          <w:rtl w:val="true"/>
        </w:rPr>
        <w:t>.</w:t>
      </w:r>
      <w:r>
        <w:rPr>
          <w:rtl w:val="true"/>
        </w:rPr>
        <w:t>הנשיאה  השופט צלקובניק ומשכך</w:t>
      </w:r>
      <w:r>
        <w:rPr>
          <w:rtl w:val="true"/>
        </w:rPr>
        <w:t xml:space="preserve">, </w:t>
      </w:r>
      <w:r>
        <w:rPr>
          <w:rtl w:val="true"/>
        </w:rPr>
        <w:t>מגלם בתוכו את אינטרס הסתמכות של הצדדים</w:t>
      </w:r>
      <w:r>
        <w:rPr>
          <w:rtl w:val="true"/>
        </w:rPr>
        <w:t xml:space="preserve">, </w:t>
      </w:r>
      <w:r>
        <w:rPr>
          <w:rtl w:val="true"/>
        </w:rPr>
        <w:t>ככלל</w:t>
      </w:r>
      <w:r>
        <w:rPr>
          <w:rtl w:val="true"/>
        </w:rPr>
        <w:t xml:space="preserve">, </w:t>
      </w:r>
      <w:r>
        <w:rPr>
          <w:rtl w:val="true"/>
        </w:rPr>
        <w:t>ושל הנאשם בפרט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אשר לגובה הקנס</w:t>
      </w:r>
      <w:r>
        <w:rPr>
          <w:rtl w:val="true"/>
        </w:rPr>
        <w:t xml:space="preserve">, </w:t>
      </w:r>
      <w:r>
        <w:rPr>
          <w:rtl w:val="true"/>
        </w:rPr>
        <w:t>בשים לב לתמורה אותה קיבל הנאשם בגין מעשיו</w:t>
      </w:r>
      <w:r>
        <w:rPr>
          <w:rtl w:val="true"/>
        </w:rPr>
        <w:t xml:space="preserve">, </w:t>
      </w:r>
      <w:r>
        <w:rPr>
          <w:rtl w:val="true"/>
        </w:rPr>
        <w:t>בשים לב לקנסות שהוטלו על מעורבים אחרים</w:t>
      </w:r>
      <w:r>
        <w:rPr>
          <w:rtl w:val="true"/>
        </w:rPr>
        <w:t xml:space="preserve">, </w:t>
      </w:r>
      <w:r>
        <w:rPr>
          <w:rtl w:val="true"/>
        </w:rPr>
        <w:t>הגעתי לכלל מסקנה כי גם אם הנאשם אינו מגיע ממשפחה אמידה</w:t>
      </w:r>
      <w:r>
        <w:rPr>
          <w:rtl w:val="true"/>
        </w:rPr>
        <w:t xml:space="preserve">, </w:t>
      </w:r>
      <w:r>
        <w:rPr>
          <w:rtl w:val="true"/>
        </w:rPr>
        <w:t>מן הראוי שזה יהיה לכל הפחות בגובה התמורה הכספית אותה קיבל בגין מעשיו ואף מעט מעבר לה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טרם סיום</w:t>
      </w:r>
      <w:r>
        <w:rPr>
          <w:rtl w:val="true"/>
        </w:rPr>
        <w:t xml:space="preserve">, </w:t>
      </w:r>
      <w:r>
        <w:rPr>
          <w:rtl w:val="true"/>
        </w:rPr>
        <w:t>יש מקום לחזור על ההלכה הידועה ולפיה</w:t>
      </w:r>
      <w:r>
        <w:rPr>
          <w:rtl w:val="true"/>
        </w:rPr>
        <w:t xml:space="preserve">, </w:t>
      </w:r>
      <w:r>
        <w:rPr>
          <w:rtl w:val="true"/>
        </w:rPr>
        <w:t>בתי משפט יכבדו הסדרי טיעון וחריגה מהם תהיה במקרים יוצאי דופן וזאת כאמור ב</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1958/98</w:t>
        </w:r>
      </w:hyperlink>
      <w:r>
        <w:rPr>
          <w:rtl w:val="true"/>
        </w:rPr>
        <w:t xml:space="preserve"> </w:t>
      </w:r>
      <w:r>
        <w:rPr>
          <w:rtl w:val="true"/>
        </w:rPr>
        <w:t>פלוני נ</w:t>
      </w:r>
      <w:r>
        <w:rPr>
          <w:rtl w:val="true"/>
        </w:rPr>
        <w:t xml:space="preserve">' </w:t>
      </w:r>
      <w:r>
        <w:rPr>
          <w:rtl w:val="true"/>
        </w:rPr>
        <w:t>מדינת ישראל</w:t>
      </w:r>
      <w:r>
        <w:rPr>
          <w:rtl w:val="true"/>
        </w:rPr>
        <w:t xml:space="preserve">: </w:t>
      </w:r>
    </w:p>
    <w:p>
      <w:pPr>
        <w:pStyle w:val="Normal"/>
        <w:ind w:start="425" w:end="426"/>
        <w:jc w:val="both"/>
        <w:rPr/>
      </w:pPr>
      <w:r>
        <w:rPr>
          <w:rtl w:val="true"/>
        </w:rPr>
        <w:t>"</w:t>
      </w:r>
      <w:r>
        <w:rPr>
          <w:b/>
          <w:b/>
          <w:bCs/>
          <w:rtl w:val="true"/>
        </w:rPr>
        <w:t>הכול מסכימים כי האינטרס הציבורי במובנו הרחב מחייב את בתי</w:t>
      </w:r>
      <w:r>
        <w:rPr>
          <w:b/>
          <w:bCs/>
          <w:rtl w:val="true"/>
        </w:rPr>
        <w:t>-</w:t>
      </w:r>
      <w:r>
        <w:rPr>
          <w:b/>
          <w:b/>
          <w:bCs/>
          <w:rtl w:val="true"/>
        </w:rPr>
        <w:t>המשפט לעודד קיומם של הסדרי טיעון</w:t>
      </w:r>
      <w:r>
        <w:rPr>
          <w:b/>
          <w:bCs/>
          <w:rtl w:val="true"/>
        </w:rPr>
        <w:t xml:space="preserve">. </w:t>
      </w:r>
      <w:r>
        <w:rPr>
          <w:b/>
          <w:b/>
          <w:bCs/>
          <w:rtl w:val="true"/>
        </w:rPr>
        <w:t>קיום הסדרי טיעון מאפשר פריסה רחבה יותר של אכיפת החוק ובכך יש כוח מרתיע כשלעצמו</w:t>
      </w:r>
      <w:r>
        <w:rPr>
          <w:b/>
          <w:bCs/>
          <w:rtl w:val="true"/>
        </w:rPr>
        <w:t xml:space="preserve">, </w:t>
      </w:r>
      <w:r>
        <w:rPr>
          <w:b/>
          <w:b/>
          <w:bCs/>
          <w:rtl w:val="true"/>
        </w:rPr>
        <w:t>העשוי לאזן את אפקט ההקלה בעונש במקרה הקונקרטי</w:t>
      </w:r>
      <w:r>
        <w:rPr>
          <w:b/>
          <w:bCs/>
          <w:rtl w:val="true"/>
        </w:rPr>
        <w:t xml:space="preserve">. </w:t>
      </w:r>
      <w:r>
        <w:rPr>
          <w:b/>
          <w:b/>
          <w:bCs/>
          <w:rtl w:val="true"/>
        </w:rPr>
        <w:t>הסדר טיעון אשר נכרת בהתאם לכללים ועל</w:t>
      </w:r>
      <w:r>
        <w:rPr>
          <w:b/>
          <w:bCs/>
          <w:rtl w:val="true"/>
        </w:rPr>
        <w:t>-</w:t>
      </w:r>
      <w:r>
        <w:rPr>
          <w:b/>
          <w:b/>
          <w:bCs/>
          <w:rtl w:val="true"/>
        </w:rPr>
        <w:t>פי שיקולים ראויים</w:t>
      </w:r>
      <w:r>
        <w:rPr>
          <w:b/>
          <w:bCs/>
          <w:rtl w:val="true"/>
        </w:rPr>
        <w:t xml:space="preserve">, </w:t>
      </w:r>
      <w:r>
        <w:rPr>
          <w:b/>
          <w:b/>
          <w:bCs/>
          <w:rtl w:val="true"/>
        </w:rPr>
        <w:t>מקצר את עינוי הדין של הנאשם ושל נאשמים פוטנציאליים הממתינים לכתב</w:t>
      </w:r>
      <w:r>
        <w:rPr>
          <w:b/>
          <w:bCs/>
          <w:rtl w:val="true"/>
        </w:rPr>
        <w:t>-</w:t>
      </w:r>
      <w:r>
        <w:rPr>
          <w:b/>
          <w:b/>
          <w:bCs/>
          <w:rtl w:val="true"/>
        </w:rPr>
        <w:t>אישום נגדם</w:t>
      </w:r>
      <w:r>
        <w:rPr>
          <w:b/>
          <w:bCs/>
          <w:rtl w:val="true"/>
        </w:rPr>
        <w:t xml:space="preserve">. </w:t>
      </w:r>
      <w:r>
        <w:rPr>
          <w:b/>
          <w:b/>
          <w:bCs/>
          <w:rtl w:val="true"/>
        </w:rPr>
        <w:t>ההסדר מסייע לרשויות האכיפה בהעמדת עבריינים נוספים לדין</w:t>
      </w:r>
      <w:r>
        <w:rPr>
          <w:b/>
          <w:bCs/>
          <w:rtl w:val="true"/>
        </w:rPr>
        <w:t xml:space="preserve">, </w:t>
      </w:r>
      <w:r>
        <w:rPr>
          <w:b/>
          <w:b/>
          <w:bCs/>
          <w:rtl w:val="true"/>
        </w:rPr>
        <w:t>והוא מבטיח ענישה שאינה מרוחקת בזמן ממועד ביצוע העבירה</w:t>
      </w:r>
      <w:r>
        <w:rPr>
          <w:b/>
          <w:bCs/>
          <w:rtl w:val="true"/>
        </w:rPr>
        <w:t xml:space="preserve">. </w:t>
      </w:r>
      <w:r>
        <w:rPr>
          <w:b/>
          <w:b/>
          <w:bCs/>
          <w:rtl w:val="true"/>
        </w:rPr>
        <w:t>הוא חוסך את המשאבים הרבים המושקעים בניהול הליך פלילי</w:t>
      </w:r>
      <w:r>
        <w:rPr>
          <w:b/>
          <w:bCs/>
          <w:rtl w:val="true"/>
        </w:rPr>
        <w:t xml:space="preserve">, </w:t>
      </w:r>
      <w:r>
        <w:rPr>
          <w:b/>
          <w:b/>
          <w:bCs/>
          <w:rtl w:val="true"/>
        </w:rPr>
        <w:t>לעתים מורכב וממושך</w:t>
      </w:r>
      <w:r>
        <w:rPr>
          <w:b/>
          <w:bCs/>
          <w:rtl w:val="true"/>
        </w:rPr>
        <w:t xml:space="preserve">, </w:t>
      </w:r>
      <w:r>
        <w:rPr>
          <w:b/>
          <w:b/>
          <w:bCs/>
          <w:rtl w:val="true"/>
        </w:rPr>
        <w:t>המכביד הן על התביעה הן על הנאשם</w:t>
      </w:r>
      <w:r>
        <w:rPr>
          <w:b/>
          <w:bCs/>
          <w:rtl w:val="true"/>
        </w:rPr>
        <w:t xml:space="preserve">, </w:t>
      </w:r>
      <w:r>
        <w:rPr>
          <w:b/>
          <w:b/>
          <w:bCs/>
          <w:rtl w:val="true"/>
        </w:rPr>
        <w:t>והוא מפנה את בית</w:t>
      </w:r>
      <w:r>
        <w:rPr>
          <w:b/>
          <w:bCs/>
          <w:rtl w:val="true"/>
        </w:rPr>
        <w:t>-</w:t>
      </w:r>
      <w:r>
        <w:rPr>
          <w:b/>
          <w:b/>
          <w:bCs/>
          <w:rtl w:val="true"/>
        </w:rPr>
        <w:t>המשפט העמוס לעייפה לעיסוק בתיקים אחרים</w:t>
      </w:r>
      <w:r>
        <w:rPr>
          <w:b/>
          <w:bCs/>
          <w:rtl w:val="true"/>
        </w:rPr>
        <w:t xml:space="preserve">. </w:t>
      </w:r>
      <w:r>
        <w:rPr>
          <w:b/>
          <w:b/>
          <w:bCs/>
          <w:rtl w:val="true"/>
        </w:rPr>
        <w:t>מבחינה ערכית</w:t>
      </w:r>
      <w:r>
        <w:rPr>
          <w:b/>
          <w:bCs/>
          <w:rtl w:val="true"/>
        </w:rPr>
        <w:t xml:space="preserve">, </w:t>
      </w:r>
      <w:r>
        <w:rPr>
          <w:b/>
          <w:b/>
          <w:bCs/>
          <w:rtl w:val="true"/>
        </w:rPr>
        <w:t>יש להסדר הטיעון ערך מוסף כאשר העבריין מקבל על עצמו אחריות למעשיו</w:t>
      </w:r>
      <w:r>
        <w:rPr>
          <w:b/>
          <w:bCs/>
          <w:rtl w:val="true"/>
        </w:rPr>
        <w:t>.</w:t>
      </w:r>
      <w:bookmarkStart w:id="13" w:name="LawTable"/>
      <w:bookmarkEnd w:id="13"/>
    </w:p>
    <w:p>
      <w:pPr>
        <w:pStyle w:val="Normal"/>
        <w:spacing w:lineRule="exact" w:line="240" w:before="0" w:after="120"/>
        <w:ind w:hanging="283" w:start="283" w:end="426"/>
        <w:jc w:val="both"/>
        <w:rPr>
          <w:rFonts w:ascii="FrankRuehl" w:hAnsi="FrankRuehl" w:cs="FrankRuehl"/>
        </w:rPr>
      </w:pPr>
      <w:r>
        <w:rPr>
          <w:rFonts w:cs="FrankRuehl" w:ascii="FrankRuehl" w:hAnsi="FrankRuehl"/>
          <w:rtl w:val="true"/>
        </w:rPr>
      </w:r>
    </w:p>
    <w:p>
      <w:pPr>
        <w:pStyle w:val="Normal"/>
        <w:ind w:start="425" w:end="426"/>
        <w:jc w:val="start"/>
        <w:rPr>
          <w:b/>
          <w:bCs/>
        </w:rPr>
      </w:pPr>
      <w:bookmarkStart w:id="14" w:name="LawTable_End"/>
      <w:bookmarkEnd w:id="14"/>
      <w:r>
        <w:rPr>
          <w:b/>
          <w:b/>
          <w:bCs/>
          <w:rtl w:val="true"/>
        </w:rPr>
        <w:t>בנוסף על כל אלה</w:t>
      </w:r>
      <w:r>
        <w:rPr>
          <w:b/>
          <w:bCs/>
          <w:rtl w:val="true"/>
        </w:rPr>
        <w:t xml:space="preserve">, </w:t>
      </w:r>
      <w:r>
        <w:rPr>
          <w:b/>
          <w:b/>
          <w:bCs/>
          <w:rtl w:val="true"/>
        </w:rPr>
        <w:t>הסדר טיעון מסייע לנפגע העבירה בהביאו בחשבון את הצורך</w:t>
      </w:r>
    </w:p>
    <w:p>
      <w:pPr>
        <w:pStyle w:val="Normal"/>
        <w:ind w:start="425" w:end="426"/>
        <w:jc w:val="both"/>
        <w:rPr/>
      </w:pPr>
      <w:r>
        <w:rPr>
          <w:b/>
          <w:b/>
          <w:bCs/>
          <w:rtl w:val="true"/>
        </w:rPr>
        <w:t>בשיקומו המהיר ובמניעת פגיעה נוספת בו עקב העדתו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דברים אלה יפים</w:t>
      </w:r>
      <w:r>
        <w:rPr>
          <w:rtl w:val="true"/>
        </w:rPr>
        <w:t xml:space="preserve">, </w:t>
      </w:r>
      <w:r>
        <w:rPr>
          <w:rtl w:val="true"/>
        </w:rPr>
        <w:t>ואף ביתר שאת למקרה שבפני</w:t>
      </w:r>
      <w:r>
        <w:rPr>
          <w:rtl w:val="true"/>
        </w:rPr>
        <w:t xml:space="preserve">, </w:t>
      </w:r>
      <w:r>
        <w:rPr>
          <w:rtl w:val="true"/>
        </w:rPr>
        <w:t>ומכאן גם החלטת בית משפט לכבד את ההסדר</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rPr>
      </w:pPr>
      <w:r>
        <w:rPr>
          <w:b/>
          <w:b/>
          <w:bCs/>
          <w:rtl w:val="true"/>
        </w:rPr>
        <w:t>סוף דבר</w:t>
      </w:r>
      <w:r>
        <w:rPr>
          <w:b/>
          <w:bCs/>
          <w:rtl w:val="true"/>
        </w:rPr>
        <w:t xml:space="preserve">,  </w:t>
      </w:r>
      <w:r>
        <w:rPr>
          <w:b/>
          <w:b/>
          <w:bCs/>
          <w:rtl w:val="true"/>
        </w:rPr>
        <w:t>מכל המקובץ לעיל</w:t>
      </w:r>
      <w:r>
        <w:rPr>
          <w:b/>
          <w:bCs/>
          <w:rtl w:val="true"/>
        </w:rPr>
        <w:t xml:space="preserve">, </w:t>
      </w:r>
      <w:r>
        <w:rPr>
          <w:b/>
          <w:b/>
          <w:bCs/>
          <w:rtl w:val="true"/>
        </w:rPr>
        <w:t xml:space="preserve">הריני לגזור על הנאשם </w:t>
      </w:r>
      <w:r>
        <w:rPr>
          <w:b/>
          <w:bCs/>
        </w:rPr>
        <w:t>1</w:t>
      </w:r>
      <w:r>
        <w:rPr>
          <w:b/>
          <w:bCs/>
          <w:rtl w:val="true"/>
        </w:rPr>
        <w:t xml:space="preserve"> </w:t>
      </w:r>
      <w:r>
        <w:rPr>
          <w:b/>
          <w:b/>
          <w:bCs/>
          <w:rtl w:val="true"/>
        </w:rPr>
        <w:t>את העונשים הבאים</w:t>
      </w:r>
      <w:r>
        <w:rPr>
          <w:b/>
          <w:bCs/>
          <w:rtl w:val="true"/>
        </w:rPr>
        <w:t xml:space="preserve">. </w:t>
      </w:r>
    </w:p>
    <w:p>
      <w:pPr>
        <w:pStyle w:val="Normal"/>
        <w:spacing w:lineRule="auto" w:line="360"/>
        <w:ind w:end="0"/>
        <w:jc w:val="both"/>
        <w:rPr/>
      </w:pPr>
      <w:r>
        <w:rPr>
          <w:rtl w:val="true"/>
        </w:rPr>
        <w:t>א</w:t>
      </w:r>
      <w:r>
        <w:rPr>
          <w:rtl w:val="true"/>
        </w:rPr>
        <w:t>.</w:t>
        <w:tab/>
      </w:r>
      <w:r>
        <w:rPr/>
        <w:t>7</w:t>
      </w:r>
      <w:r>
        <w:rPr>
          <w:rtl w:val="true"/>
        </w:rPr>
        <w:t xml:space="preserve"> </w:t>
      </w:r>
      <w:r>
        <w:rPr>
          <w:rtl w:val="true"/>
        </w:rPr>
        <w:t>שנים מאסר בפועל שימנו מיום מעצרו</w:t>
      </w:r>
      <w:r>
        <w:rPr>
          <w:rtl w:val="true"/>
        </w:rPr>
        <w:t xml:space="preserve">, </w:t>
      </w:r>
      <w:r>
        <w:rPr/>
        <w:t>15.02.18</w:t>
      </w:r>
      <w:r>
        <w:rPr>
          <w:rtl w:val="true"/>
        </w:rPr>
        <w:t>.</w:t>
      </w:r>
    </w:p>
    <w:p>
      <w:pPr>
        <w:pStyle w:val="Normal"/>
        <w:spacing w:lineRule="auto" w:line="360"/>
        <w:ind w:hanging="720" w:start="720" w:end="0"/>
        <w:jc w:val="both"/>
        <w:rPr/>
      </w:pPr>
      <w:r>
        <w:rPr>
          <w:rtl w:val="true"/>
        </w:rPr>
        <w:t>ב</w:t>
      </w:r>
      <w:r>
        <w:rPr>
          <w:rtl w:val="true"/>
        </w:rPr>
        <w:t xml:space="preserve">. </w:t>
        <w:tab/>
      </w:r>
      <w:r>
        <w:rPr/>
        <w:t>6</w:t>
      </w:r>
      <w:r>
        <w:rPr>
          <w:rtl w:val="true"/>
        </w:rPr>
        <w:t xml:space="preserve"> </w:t>
      </w:r>
      <w:r>
        <w:rPr>
          <w:rtl w:val="true"/>
        </w:rPr>
        <w:t xml:space="preserve">חודשים מאסר על תנאי למשך </w:t>
      </w:r>
      <w:r>
        <w:rPr/>
        <w:t>3</w:t>
      </w:r>
      <w:r>
        <w:rPr>
          <w:rtl w:val="true"/>
        </w:rPr>
        <w:t xml:space="preserve"> </w:t>
      </w:r>
      <w:r>
        <w:rPr>
          <w:rtl w:val="true"/>
        </w:rPr>
        <w:t>שנים מיום שחרורו</w:t>
      </w:r>
      <w:r>
        <w:rPr>
          <w:rtl w:val="true"/>
        </w:rPr>
        <w:t xml:space="preserve">, </w:t>
      </w:r>
      <w:r>
        <w:rPr>
          <w:rtl w:val="true"/>
        </w:rPr>
        <w:t xml:space="preserve">שלא יעבור עבירות נשק או עבירות לפי </w:t>
      </w:r>
      <w:hyperlink r:id="rId17">
        <w:r>
          <w:rPr>
            <w:rStyle w:val="Hyperlink"/>
            <w:color w:val="0000FF"/>
            <w:u w:val="single"/>
            <w:rtl w:val="true"/>
          </w:rPr>
          <w:t>פרק יא</w:t>
        </w:r>
        <w:r>
          <w:rPr>
            <w:rStyle w:val="Hyperlink"/>
            <w:color w:val="0000FF"/>
            <w:u w:val="single"/>
            <w:rtl w:val="true"/>
          </w:rPr>
          <w:t xml:space="preserve">' </w:t>
        </w:r>
        <w:r>
          <w:rPr>
            <w:rStyle w:val="Hyperlink"/>
            <w:color w:val="0000FF"/>
            <w:u w:val="single"/>
            <w:rtl w:val="true"/>
          </w:rPr>
          <w:t>סימן</w:t>
        </w:r>
      </w:hyperlink>
      <w:r>
        <w:rPr>
          <w:rtl w:val="true"/>
        </w:rPr>
        <w:t xml:space="preserve"> ו</w:t>
      </w:r>
      <w:r>
        <w:rPr>
          <w:rtl w:val="true"/>
        </w:rPr>
        <w:t xml:space="preserve">' </w:t>
      </w:r>
      <w:r>
        <w:rPr>
          <w:rtl w:val="true"/>
        </w:rPr>
        <w:t>ל</w:t>
      </w:r>
      <w:hyperlink r:id="rId18">
        <w:r>
          <w:rPr>
            <w:rStyle w:val="Hyperlink"/>
            <w:color w:val="0000FF"/>
            <w:u w:val="single"/>
            <w:rtl w:val="true"/>
          </w:rPr>
          <w:t>חוק העונשין</w:t>
        </w:r>
      </w:hyperlink>
      <w:r>
        <w:rPr>
          <w:rtl w:val="true"/>
        </w:rPr>
        <w:t xml:space="preserve"> מסוג עוון</w:t>
      </w:r>
      <w:r>
        <w:rPr>
          <w:rtl w:val="true"/>
        </w:rPr>
        <w:t>.</w:t>
      </w:r>
    </w:p>
    <w:p>
      <w:pPr>
        <w:pStyle w:val="Normal"/>
        <w:spacing w:lineRule="auto" w:line="360"/>
        <w:ind w:hanging="720" w:start="720" w:end="0"/>
        <w:jc w:val="both"/>
        <w:rPr/>
      </w:pPr>
      <w:r>
        <w:rPr>
          <w:rtl w:val="true"/>
        </w:rPr>
        <w:t>ג</w:t>
      </w:r>
      <w:r>
        <w:rPr>
          <w:rtl w:val="true"/>
        </w:rPr>
        <w:t xml:space="preserve">. </w:t>
        <w:tab/>
      </w:r>
      <w:r>
        <w:rPr/>
        <w:t>12</w:t>
      </w:r>
      <w:r>
        <w:rPr>
          <w:rtl w:val="true"/>
        </w:rPr>
        <w:t xml:space="preserve"> </w:t>
      </w:r>
      <w:r>
        <w:rPr>
          <w:rtl w:val="true"/>
        </w:rPr>
        <w:t xml:space="preserve">חודשים מאסר על תנאי למשך </w:t>
      </w:r>
      <w:r>
        <w:rPr/>
        <w:t>3</w:t>
      </w:r>
      <w:r>
        <w:rPr>
          <w:rtl w:val="true"/>
        </w:rPr>
        <w:t xml:space="preserve"> </w:t>
      </w:r>
      <w:r>
        <w:rPr>
          <w:rtl w:val="true"/>
        </w:rPr>
        <w:t xml:space="preserve">שנים מיום שחרורו שלא יעבור עבירות נשק או עבירות לפי </w:t>
      </w:r>
      <w:hyperlink r:id="rId19">
        <w:r>
          <w:rPr>
            <w:rStyle w:val="Hyperlink"/>
            <w:color w:val="0000FF"/>
            <w:u w:val="single"/>
            <w:rtl w:val="true"/>
          </w:rPr>
          <w:t>פרק יא</w:t>
        </w:r>
        <w:r>
          <w:rPr>
            <w:rStyle w:val="Hyperlink"/>
            <w:color w:val="0000FF"/>
            <w:u w:val="single"/>
            <w:rtl w:val="true"/>
          </w:rPr>
          <w:t xml:space="preserve">' </w:t>
        </w:r>
        <w:r>
          <w:rPr>
            <w:rStyle w:val="Hyperlink"/>
            <w:color w:val="0000FF"/>
            <w:u w:val="single"/>
            <w:rtl w:val="true"/>
          </w:rPr>
          <w:t>סימן</w:t>
        </w:r>
      </w:hyperlink>
      <w:r>
        <w:rPr>
          <w:rtl w:val="true"/>
        </w:rPr>
        <w:t xml:space="preserve"> ו</w:t>
      </w:r>
      <w:r>
        <w:rPr>
          <w:rtl w:val="true"/>
        </w:rPr>
        <w:t xml:space="preserve">' </w:t>
      </w:r>
      <w:r>
        <w:rPr>
          <w:rtl w:val="true"/>
        </w:rPr>
        <w:t>ל</w:t>
      </w:r>
      <w:hyperlink r:id="rId20">
        <w:r>
          <w:rPr>
            <w:rStyle w:val="Hyperlink"/>
            <w:color w:val="0000FF"/>
            <w:u w:val="single"/>
            <w:rtl w:val="true"/>
          </w:rPr>
          <w:t>חוק העונשין</w:t>
        </w:r>
      </w:hyperlink>
      <w:r>
        <w:rPr>
          <w:rtl w:val="true"/>
        </w:rPr>
        <w:t xml:space="preserve">, </w:t>
      </w:r>
      <w:r>
        <w:rPr>
          <w:rtl w:val="true"/>
        </w:rPr>
        <w:t>מסוג פשע</w:t>
      </w:r>
      <w:r>
        <w:rPr>
          <w:rtl w:val="true"/>
        </w:rPr>
        <w:t xml:space="preserve">. </w:t>
      </w:r>
    </w:p>
    <w:p>
      <w:pPr>
        <w:pStyle w:val="Normal"/>
        <w:spacing w:lineRule="auto" w:line="360"/>
        <w:ind w:hanging="720" w:start="720" w:end="0"/>
        <w:jc w:val="both"/>
        <w:rPr/>
      </w:pPr>
      <w:r>
        <w:rPr>
          <w:rtl w:val="true"/>
        </w:rPr>
        <w:t>ד</w:t>
      </w:r>
      <w:r>
        <w:rPr>
          <w:rtl w:val="true"/>
        </w:rPr>
        <w:t xml:space="preserve">. </w:t>
        <w:tab/>
      </w:r>
      <w:r>
        <w:rPr/>
        <w:t>30,000</w:t>
      </w:r>
      <w:r>
        <w:rPr>
          <w:rtl w:val="true"/>
        </w:rPr>
        <w:t xml:space="preserve"> ₪ </w:t>
      </w:r>
      <w:r>
        <w:rPr>
          <w:rtl w:val="true"/>
        </w:rPr>
        <w:t xml:space="preserve">קנס או </w:t>
      </w:r>
      <w:r>
        <w:rPr/>
        <w:t>100</w:t>
      </w:r>
      <w:r>
        <w:rPr>
          <w:rtl w:val="true"/>
        </w:rPr>
        <w:t xml:space="preserve"> </w:t>
      </w:r>
      <w:r>
        <w:rPr>
          <w:rtl w:val="true"/>
        </w:rPr>
        <w:t>ימי מאסר תמורתו</w:t>
      </w:r>
      <w:r>
        <w:rPr>
          <w:rtl w:val="true"/>
        </w:rPr>
        <w:t xml:space="preserve">. </w:t>
      </w:r>
      <w:r>
        <w:rPr>
          <w:rtl w:val="true"/>
        </w:rPr>
        <w:t>הקנס ישולם ב</w:t>
      </w:r>
      <w:r>
        <w:rPr>
          <w:rtl w:val="true"/>
        </w:rPr>
        <w:t>-</w:t>
      </w:r>
      <w:r>
        <w:rPr/>
        <w:t>15</w:t>
      </w:r>
      <w:r>
        <w:rPr>
          <w:rtl w:val="true"/>
        </w:rPr>
        <w:t xml:space="preserve"> </w:t>
      </w:r>
      <w:r>
        <w:rPr>
          <w:rtl w:val="true"/>
        </w:rPr>
        <w:t xml:space="preserve">תשלומים חודשיים שווים ורצופים החל מיום </w:t>
      </w:r>
      <w:r>
        <w:rPr/>
        <w:t>1.6.19</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rPr>
      </w:pPr>
      <w:r>
        <w:rPr>
          <w:b/>
          <w:bCs/>
          <w:rtl w:val="true"/>
        </w:rPr>
      </w:r>
    </w:p>
    <w:p>
      <w:pPr>
        <w:pStyle w:val="Normal"/>
        <w:spacing w:lineRule="auto" w:line="360"/>
        <w:ind w:hanging="720" w:start="720" w:end="0"/>
        <w:jc w:val="both"/>
        <w:rPr>
          <w:b/>
          <w:bCs/>
        </w:rPr>
      </w:pPr>
      <w:r>
        <w:rPr>
          <w:b/>
          <w:bCs/>
          <w:rtl w:val="true"/>
        </w:rPr>
      </w:r>
    </w:p>
    <w:p>
      <w:pPr>
        <w:pStyle w:val="Normal"/>
        <w:spacing w:lineRule="auto" w:line="360"/>
        <w:ind w:hanging="720" w:start="720" w:end="0"/>
        <w:jc w:val="both"/>
        <w:rPr>
          <w:b/>
          <w:bCs/>
        </w:rPr>
      </w:pPr>
      <w:r>
        <w:rPr>
          <w:b/>
          <w:b/>
          <w:bCs/>
          <w:rtl w:val="true"/>
        </w:rPr>
        <w:t xml:space="preserve">זכות ערעור תוך </w:t>
      </w:r>
      <w:r>
        <w:rPr>
          <w:b/>
          <w:bCs/>
        </w:rPr>
        <w:t>45</w:t>
      </w:r>
      <w:r>
        <w:rPr>
          <w:b/>
          <w:bCs/>
          <w:rtl w:val="true"/>
        </w:rPr>
        <w:t xml:space="preserve"> </w:t>
      </w:r>
      <w:r>
        <w:rPr>
          <w:b/>
          <w:b/>
          <w:bCs/>
          <w:rtl w:val="true"/>
        </w:rPr>
        <w:t xml:space="preserve">יום </w:t>
      </w:r>
      <w:r>
        <w:rPr>
          <w:b/>
          <w:bCs/>
          <w:rtl w:val="true"/>
        </w:rPr>
        <w:t>.</w:t>
      </w:r>
    </w:p>
    <w:p>
      <w:pPr>
        <w:pStyle w:val="Normal"/>
        <w:spacing w:lineRule="auto" w:line="360"/>
        <w:ind w:end="0"/>
        <w:jc w:val="both"/>
        <w:rPr>
          <w:b/>
          <w:bCs/>
          <w:sz w:val="6"/>
          <w:szCs w:val="6"/>
        </w:rPr>
      </w:pPr>
      <w:r>
        <w:rPr>
          <w:b/>
          <w:bCs/>
          <w:sz w:val="6"/>
          <w:szCs w:val="6"/>
          <w:rtl w:val="true"/>
        </w:rPr>
      </w:r>
    </w:p>
    <w:p>
      <w:pPr>
        <w:pStyle w:val="Normal"/>
        <w:spacing w:lineRule="auto" w:line="360"/>
        <w:ind w:end="0"/>
        <w:jc w:val="both"/>
        <w:rPr>
          <w:sz w:val="6"/>
          <w:szCs w:val="6"/>
        </w:rPr>
      </w:pPr>
      <w:r>
        <w:rPr>
          <w:sz w:val="6"/>
          <w:szCs w:val="6"/>
          <w:rtl w:val="true"/>
        </w:rPr>
        <w:t>&lt;</w:t>
      </w:r>
      <w:r>
        <w:rPr>
          <w:sz w:val="6"/>
          <w:szCs w:val="6"/>
        </w:rPr>
        <w:t>#3#</w:t>
      </w:r>
      <w:r>
        <w:rPr>
          <w:sz w:val="6"/>
          <w:szCs w:val="6"/>
          <w:rtl w:val="true"/>
        </w:rPr>
        <w:t>&gt;</w:t>
      </w:r>
    </w:p>
    <w:p>
      <w:pPr>
        <w:pStyle w:val="Normal"/>
        <w:ind w:end="0"/>
        <w:jc w:val="start"/>
        <w:rPr>
          <w:sz w:val="6"/>
          <w:szCs w:val="6"/>
        </w:rPr>
      </w:pPr>
      <w:r>
        <w:rPr>
          <w:sz w:val="6"/>
          <w:szCs w:val="6"/>
          <w:rtl w:val="true"/>
        </w:rPr>
      </w:r>
    </w:p>
    <w:p>
      <w:pPr>
        <w:pStyle w:val="Normal"/>
        <w:ind w:end="0"/>
        <w:jc w:val="start"/>
        <w:rPr/>
      </w:pPr>
      <w:bookmarkStart w:id="15" w:name="Nitan"/>
      <w:r>
        <w:rPr>
          <w:b/>
          <w:bCs/>
          <w:color w:val="FFFFFF"/>
          <w:sz w:val="2"/>
          <w:szCs w:val="2"/>
        </w:rPr>
        <w:t>5129371</w:t>
      </w:r>
      <w:r>
        <w:rPr>
          <w:b/>
          <w:b/>
          <w:bCs/>
          <w:rtl w:val="true"/>
        </w:rPr>
        <w:t>ניתנה והודעה היום ג</w:t>
      </w:r>
      <w:r>
        <w:rPr>
          <w:b/>
          <w:bCs/>
          <w:rtl w:val="true"/>
        </w:rPr>
        <w:t xml:space="preserve">' </w:t>
      </w:r>
      <w:r>
        <w:rPr>
          <w:b/>
          <w:b/>
          <w:bCs/>
          <w:rtl w:val="true"/>
        </w:rPr>
        <w:t>ניסן תשע</w:t>
      </w:r>
      <w:r>
        <w:rPr>
          <w:b/>
          <w:bCs/>
          <w:rtl w:val="true"/>
        </w:rPr>
        <w:t>"</w:t>
      </w:r>
      <w:r>
        <w:rPr>
          <w:b/>
          <w:b/>
          <w:bCs/>
          <w:rtl w:val="true"/>
        </w:rPr>
        <w:t>ט</w:t>
      </w:r>
      <w:r>
        <w:rPr>
          <w:b/>
          <w:bCs/>
          <w:rtl w:val="true"/>
        </w:rPr>
        <w:t xml:space="preserve">, </w:t>
      </w:r>
      <w:r>
        <w:rPr>
          <w:b/>
          <w:bCs/>
        </w:rPr>
        <w:t>08/04/2019</w:t>
      </w:r>
      <w:r>
        <w:rPr>
          <w:b/>
          <w:bCs/>
          <w:rtl w:val="true"/>
        </w:rPr>
        <w:t xml:space="preserve"> </w:t>
      </w:r>
      <w:r>
        <w:rPr>
          <w:b/>
          <w:b/>
          <w:bCs/>
          <w:rtl w:val="true"/>
        </w:rPr>
        <w:t>במעמד הנוכחים</w:t>
      </w:r>
      <w:r>
        <w:rPr>
          <w:b/>
          <w:bCs/>
          <w:rtl w:val="true"/>
        </w:rPr>
        <w:t xml:space="preserve">. </w:t>
      </w:r>
      <w:bookmarkEnd w:id="15"/>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bottom"/>
          </w:tcPr>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Pr>
              <w:t>54678313</w:t>
            </w:r>
          </w:p>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דניאל בן טולילה</w:t>
            </w:r>
            <w:r>
              <w:rPr>
                <w:rFonts w:cs="Times New Roman" w:ascii="Times New Roman" w:hAnsi="Times New Roman"/>
                <w:b/>
                <w:bCs/>
                <w:rtl w:val="true"/>
              </w:rPr>
              <w:t xml:space="preserve">, </w:t>
            </w:r>
            <w:r>
              <w:rPr>
                <w:rFonts w:ascii="Times New Roman" w:hAnsi="Times New Roman" w:cs="Times New Roman"/>
                <w:b/>
                <w:b/>
                <w:bCs/>
                <w:rtl w:val="true"/>
              </w:rPr>
              <w:t>שופט</w:t>
            </w:r>
          </w:p>
        </w:tc>
      </w:tr>
    </w:tbl>
    <w:p>
      <w:pPr>
        <w:pStyle w:val="Normal"/>
        <w:spacing w:lineRule="auto" w:line="360"/>
        <w:ind w:end="0"/>
        <w:jc w:val="both"/>
        <w:rPr/>
      </w:pPr>
      <w:r>
        <w:rPr>
          <w:color w:val="FFFFFF"/>
          <w:sz w:val="2"/>
          <w:szCs w:val="2"/>
        </w:rPr>
        <w:t>5129371</w:t>
      </w:r>
      <w:r>
        <w:rPr>
          <w:color w:val="FFFFFF"/>
          <w:sz w:val="2"/>
          <w:szCs w:val="2"/>
          <w:rtl w:val="true"/>
        </w:rPr>
        <w:t xml:space="preserve"> </w:t>
      </w:r>
    </w:p>
    <w:p>
      <w:pPr>
        <w:pStyle w:val="Normal"/>
        <w:keepNext w:val="true"/>
        <w:ind w:end="0"/>
        <w:jc w:val="start"/>
        <w:rPr>
          <w:color w:val="000000"/>
          <w:sz w:val="22"/>
          <w:szCs w:val="22"/>
        </w:rPr>
      </w:pPr>
      <w:r>
        <w:rPr>
          <w:color w:val="FFFFFF"/>
          <w:sz w:val="2"/>
          <w:szCs w:val="2"/>
        </w:rPr>
        <w:t>512937154678313</w:t>
      </w: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אילנית</w:t>
      </w:r>
      <w:r>
        <w:rPr>
          <w:rtl w:val="true"/>
        </w:rPr>
        <w:t xml:space="preserve"> </w:t>
      </w:r>
      <w:r>
        <w:rPr>
          <w:rtl w:val="true"/>
        </w:rPr>
        <w:t>רוימי</w:t>
      </w:r>
    </w:p>
    <w:p>
      <w:pPr>
        <w:pStyle w:val="Normal"/>
        <w:ind w:end="0"/>
        <w:jc w:val="start"/>
        <w:rPr>
          <w:color w:val="FFFFFF"/>
          <w:sz w:val="2"/>
          <w:szCs w:val="2"/>
        </w:rPr>
      </w:pPr>
      <w:r>
        <w:rPr>
          <w:color w:val="FFFFFF"/>
          <w:sz w:val="2"/>
          <w:szCs w:val="2"/>
        </w:rPr>
        <w:t>54678313</w:t>
      </w:r>
    </w:p>
    <w:p>
      <w:pPr>
        <w:pStyle w:val="Normal"/>
        <w:ind w:end="0"/>
        <w:jc w:val="center"/>
        <w:rPr>
          <w:color w:val="0000FF"/>
          <w:u w:val="single"/>
        </w:rPr>
      </w:pPr>
      <w:hyperlink r:id="rId21">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keepNext w:val="true"/>
        <w:ind w:end="0"/>
        <w:jc w:val="start"/>
        <w:rPr>
          <w:color w:val="000000"/>
          <w:sz w:val="22"/>
          <w:szCs w:val="22"/>
          <w:u w:val="single"/>
        </w:rPr>
      </w:pPr>
      <w:r>
        <w:rPr>
          <w:color w:val="000000"/>
          <w:sz w:val="22"/>
          <w:szCs w:val="22"/>
          <w:u w:val="single"/>
          <w:rtl w:val="true"/>
        </w:rPr>
      </w:r>
    </w:p>
    <w:p>
      <w:pPr>
        <w:pStyle w:val="Normal"/>
        <w:keepNext w:val="true"/>
        <w:ind w:end="0"/>
        <w:jc w:val="start"/>
        <w:rPr>
          <w:color w:val="000000"/>
          <w:sz w:val="22"/>
          <w:szCs w:val="22"/>
        </w:rPr>
      </w:pPr>
      <w:r>
        <w:rPr>
          <w:color w:val="000000"/>
          <w:sz w:val="22"/>
          <w:sz w:val="22"/>
          <w:szCs w:val="22"/>
          <w:rtl w:val="true"/>
        </w:rPr>
        <w:t xml:space="preserve">דניאל בן טולילה </w:t>
      </w:r>
      <w:r>
        <w:rPr>
          <w:color w:val="000000"/>
          <w:sz w:val="22"/>
          <w:szCs w:val="22"/>
        </w:rPr>
        <w:t>54678313</w:t>
      </w:r>
      <w:r>
        <w:rPr>
          <w:color w:val="000000"/>
          <w:sz w:val="22"/>
          <w:szCs w:val="22"/>
          <w:rtl w:val="true"/>
        </w:rPr>
        <w:t>-/</w:t>
      </w:r>
    </w:p>
    <w:p>
      <w:pPr>
        <w:pStyle w:val="Normal"/>
        <w:ind w:end="0"/>
        <w:jc w:val="start"/>
        <w:rPr>
          <w:color w:val="000000"/>
          <w:u w:val="single"/>
        </w:rPr>
      </w:pPr>
      <w:r>
        <w:rPr>
          <w:color w:val="000000"/>
          <w:u w:val="single"/>
          <w:rtl w:val="true"/>
        </w:rPr>
        <w:t>נוסח מסמך זה כפוף לשינויי ניסוח ועריכה</w:t>
      </w:r>
    </w:p>
    <w:sectPr>
      <w:headerReference w:type="default" r:id="rId22"/>
      <w:footerReference w:type="default" r:id="rId23"/>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ב</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41228-03-18</w:t>
    </w:r>
    <w:r>
      <w:rPr>
        <w:color w:val="000000"/>
        <w:sz w:val="22"/>
        <w:szCs w:val="22"/>
        <w:rtl w:val="true"/>
      </w:rPr>
      <w:tab/>
      <w:t xml:space="preserve"> </w:t>
    </w:r>
    <w:r>
      <w:rPr>
        <w:color w:val="000000"/>
        <w:sz w:val="22"/>
        <w:sz w:val="22"/>
        <w:szCs w:val="22"/>
        <w:rtl w:val="true"/>
      </w:rPr>
      <w:t>מדינת ישראל פמ</w:t>
    </w:r>
    <w:r>
      <w:rPr>
        <w:color w:val="000000"/>
        <w:sz w:val="22"/>
        <w:szCs w:val="22"/>
        <w:rtl w:val="true"/>
      </w:rPr>
      <w:t>"</w:t>
    </w:r>
    <w:r>
      <w:rPr>
        <w:color w:val="000000"/>
        <w:sz w:val="22"/>
        <w:sz w:val="22"/>
        <w:szCs w:val="22"/>
        <w:rtl w:val="true"/>
      </w:rPr>
      <w:t>ד נ</w:t>
    </w:r>
    <w:r>
      <w:rPr>
        <w:color w:val="000000"/>
        <w:sz w:val="22"/>
        <w:szCs w:val="22"/>
        <w:rtl w:val="true"/>
      </w:rPr>
      <w:t xml:space="preserve">' </w:t>
    </w:r>
    <w:r>
      <w:rPr>
        <w:color w:val="000000"/>
        <w:sz w:val="22"/>
        <w:szCs w:val="22"/>
      </w:rPr>
      <w:t>romain</w:t>
    </w:r>
    <w:r>
      <w:rPr>
        <w:color w:val="000000"/>
        <w:sz w:val="22"/>
        <w:szCs w:val="22"/>
        <w:rtl w:val="true"/>
      </w:rPr>
      <w:t xml:space="preserve"> </w:t>
    </w:r>
    <w:r>
      <w:rPr>
        <w:color w:val="000000"/>
        <w:sz w:val="22"/>
        <w:sz w:val="22"/>
        <w:szCs w:val="22"/>
        <w:rtl w:val="true"/>
      </w:rPr>
      <w:t xml:space="preserve">רומן </w:t>
    </w:r>
    <w:r>
      <w:rPr>
        <w:color w:val="000000"/>
        <w:sz w:val="22"/>
        <w:szCs w:val="22"/>
      </w:rPr>
      <w:t>frank</w:t>
    </w:r>
    <w:r>
      <w:rPr>
        <w:color w:val="000000"/>
        <w:sz w:val="22"/>
        <w:szCs w:val="22"/>
        <w:rtl w:val="true"/>
      </w:rPr>
      <w:t xml:space="preserve"> </w:t>
    </w:r>
    <w:r>
      <w:rPr>
        <w:color w:val="000000"/>
        <w:sz w:val="22"/>
        <w:sz w:val="22"/>
        <w:szCs w:val="22"/>
        <w:rtl w:val="true"/>
      </w:rPr>
      <w:t>פרנק</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41228-03-18"/>
    <w:docVar w:name="caseId" w:val="75329330"/>
    <w:docVar w:name="deriveClass" w:val="NGCS.Protocol.BL.Client.ProtocolBLClientCriminal"/>
    <w:docVar w:name="firstPageNumber" w:val="202"/>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9544000"/>
    <w:docVar w:name="releaseSign" w:val="0"/>
    <w:docVar w:name="sittingDateTime" w:val="08/04/2019 14:00     "/>
    <w:docVar w:name="sittingId" w:val="86426624"/>
    <w:docVar w:name="sittingTypeId" w:val="2"/>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PlaceholderText">
    <w:name w:val="Placeholder Text"/>
    <w:qFormat/>
    <w:rPr>
      <w:rFonts w:cs="Times New Roman"/>
      <w:color w:val="808080"/>
    </w:rPr>
  </w:style>
  <w:style w:type="character" w:styleId="CharChar">
    <w:name w:val=" Char Char"/>
    <w:qFormat/>
    <w:rPr>
      <w:rFonts w:cs="Times New Roman"/>
      <w:sz w:val="24"/>
      <w:szCs w:val="24"/>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70301/144.b.2" TargetMode="External"/><Relationship Id="rId5" Type="http://schemas.openxmlformats.org/officeDocument/2006/relationships/hyperlink" Target="http://www.nevo.co.il/law/70301/415" TargetMode="External"/><Relationship Id="rId6" Type="http://schemas.openxmlformats.org/officeDocument/2006/relationships/hyperlink" Target="http://www.nevo.co.il/law/70301/jaCfS" TargetMode="External"/><Relationship Id="rId7" Type="http://schemas.openxmlformats.org/officeDocument/2006/relationships/hyperlink" Target="http://www.nevo.co.il/law/70301/144.b.2"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144.b" TargetMode="External"/><Relationship Id="rId10" Type="http://schemas.openxmlformats.org/officeDocument/2006/relationships/hyperlink" Target="http://www.nevo.co.il/law/70301/415" TargetMode="External"/><Relationship Id="rId11" Type="http://schemas.openxmlformats.org/officeDocument/2006/relationships/hyperlink" Target="http://www.nevo.co.il/case/17929065" TargetMode="External"/><Relationship Id="rId12" Type="http://schemas.openxmlformats.org/officeDocument/2006/relationships/hyperlink" Target="http://www.nevo.co.il/case/21472788" TargetMode="External"/><Relationship Id="rId13" Type="http://schemas.openxmlformats.org/officeDocument/2006/relationships/hyperlink" Target="http://www.nevo.co.il/case/5960430" TargetMode="External"/><Relationship Id="rId14" Type="http://schemas.openxmlformats.org/officeDocument/2006/relationships/hyperlink" Target="http://www.nevo.co.il/case/13090914" TargetMode="External"/><Relationship Id="rId15" Type="http://schemas.openxmlformats.org/officeDocument/2006/relationships/hyperlink" Target="http://www.nevo.co.il/case/5831001" TargetMode="External"/><Relationship Id="rId16" Type="http://schemas.openxmlformats.org/officeDocument/2006/relationships/hyperlink" Target="http://www.nevo.co.il/case/161892" TargetMode="External"/><Relationship Id="rId17" Type="http://schemas.openxmlformats.org/officeDocument/2006/relationships/hyperlink" Target="http://www.nevo.co.il/law/70301/jaCfS"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jaCfS" TargetMode="External"/><Relationship Id="rId20" Type="http://schemas.openxmlformats.org/officeDocument/2006/relationships/hyperlink" Target="http://www.nevo.co.il/law/70301" TargetMode="External"/><Relationship Id="rId21" Type="http://schemas.openxmlformats.org/officeDocument/2006/relationships/hyperlink" Target="http://www.nevo.co.il/advertisements/nevo-100.doc"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2019-09-19T11:05:00Z</dcterms:created>
  <dc:creator> </dc:creator>
  <dc:description/>
  <cp:keywords/>
  <dc:language>en-IL</dc:language>
  <cp:lastModifiedBy>hofit</cp:lastModifiedBy>
  <cp:lastPrinted>2019-04-08T15:17:00Z</cp:lastPrinted>
  <dcterms:modified xsi:type="dcterms:W3CDTF">2019-09-19T11:05:00Z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פמ#ד</vt:lpwstr>
  </property>
  <property fmtid="{D5CDD505-2E9C-101B-9397-08002B2CF9AE}" pid="3" name="APPELLANT1">
    <vt:lpwstr/>
  </property>
  <property fmtid="{D5CDD505-2E9C-101B-9397-08002B2CF9AE}" pid="4" name="APPELLANT2">
    <vt:lpwstr/>
  </property>
  <property fmtid="{D5CDD505-2E9C-101B-9397-08002B2CF9AE}" pid="5" name="APPELLEE">
    <vt:lpwstr>romain רומן frank פרנק;מופק אלעגלוני</vt:lpwstr>
  </property>
  <property fmtid="{D5CDD505-2E9C-101B-9397-08002B2CF9AE}" pid="6" name="APPELLEE1">
    <vt:lpwstr/>
  </property>
  <property fmtid="{D5CDD505-2E9C-101B-9397-08002B2CF9AE}" pid="7" name="APPELLEE2">
    <vt:lpwstr/>
  </property>
  <property fmtid="{D5CDD505-2E9C-101B-9397-08002B2CF9AE}" pid="8" name="CASENOTES1">
    <vt:lpwstr>ProcID=133;209&amp;PartA=1332&amp;PartC=04</vt:lpwstr>
  </property>
  <property fmtid="{D5CDD505-2E9C-101B-9397-08002B2CF9AE}" pid="9" name="CASESLISTTMP1">
    <vt:lpwstr>17929065;21472788;5960430;13090914;5831001;161892</vt:lpwstr>
  </property>
  <property fmtid="{D5CDD505-2E9C-101B-9397-08002B2CF9AE}" pid="10" name="CITY">
    <vt:lpwstr>ב"ש</vt:lpwstr>
  </property>
  <property fmtid="{D5CDD505-2E9C-101B-9397-08002B2CF9AE}" pid="11" name="DATE">
    <vt:lpwstr>20190408</vt:lpwstr>
  </property>
  <property fmtid="{D5CDD505-2E9C-101B-9397-08002B2CF9AE}" pid="12" name="DELEMATA">
    <vt:lpwstr/>
  </property>
  <property fmtid="{D5CDD505-2E9C-101B-9397-08002B2CF9AE}" pid="13" name="ISABSTRACT">
    <vt:lpwstr>Y</vt:lpwstr>
  </property>
  <property fmtid="{D5CDD505-2E9C-101B-9397-08002B2CF9AE}" pid="14" name="JUDGE">
    <vt:lpwstr>דניאל בן טולילה</vt:lpwstr>
  </property>
  <property fmtid="{D5CDD505-2E9C-101B-9397-08002B2CF9AE}" pid="15" name="LAWLISTTMP1">
    <vt:lpwstr>70301/144.b.2:2;144.b:2;415:2;jaCfS:3</vt:lpwstr>
  </property>
  <property fmtid="{D5CDD505-2E9C-101B-9397-08002B2CF9AE}" pid="16" name="LAWYER">
    <vt:lpwstr>אסף בר יוסף;קנת מן;דייגי;ליל פטישי</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41228</vt:lpwstr>
  </property>
  <property fmtid="{D5CDD505-2E9C-101B-9397-08002B2CF9AE}" pid="23" name="NEWPARTB">
    <vt:lpwstr>03</vt:lpwstr>
  </property>
  <property fmtid="{D5CDD505-2E9C-101B-9397-08002B2CF9AE}" pid="24" name="NEWPARTC">
    <vt:lpwstr>18</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390020190408</vt:lpwstr>
  </property>
  <property fmtid="{D5CDD505-2E9C-101B-9397-08002B2CF9AE}" pid="35" name="TYPE_N_DATE">
    <vt:lpwstr>39020190408</vt:lpwstr>
  </property>
  <property fmtid="{D5CDD505-2E9C-101B-9397-08002B2CF9AE}" pid="36" name="VOLUME">
    <vt:lpwstr/>
  </property>
  <property fmtid="{D5CDD505-2E9C-101B-9397-08002B2CF9AE}" pid="37" name="WORDNUMPAGES">
    <vt:lpwstr>10</vt:lpwstr>
  </property>
</Properties>
</file>