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41242-02-17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משארקה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751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אבי לוי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751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נאיף משארקה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6" w:name="ABSTRACT_START"/>
      <w:bookmarkEnd w:id="6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13.7.16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משארקה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במצורף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hyperlink r:id="rId2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תואמות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26428-07-16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חלונות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התאווררות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17:00-18:30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7" w:name="ABSTRACT_END"/>
      <w:bookmarkEnd w:id="7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ברטעאה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פורדיס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מתנדב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האיץ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ופרועה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פורידיס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22:20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בנימינה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האיץ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וחלף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מאלץ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מהשוטרים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ממקומו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מהבהבים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צופרים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והמשיך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בפנס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המשיך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ואילץ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לקפוץ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מפגיעה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בהימלטותו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וכריזה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והמשיך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רצוף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התנועה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וגורם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לסטות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מהנתיב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לשוליים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והמשיך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פרועה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לדלוק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פארס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החנויות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העיקרי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במזיד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ההליכים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בנוסחו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פורדיס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אלומיניום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שבפורדיס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בהחבאתו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וסמכותית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באימפולסיביות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שהאופציה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נציגי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ומזלזלת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העזובה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בכעסים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שונים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הפרעות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כסדרם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המצורף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החזקת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הנשק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המוחזקים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מתגלגלים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418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</w:rPr>
      </w:pP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1371" w:leader="none"/>
        </w:tabs>
        <w:overflowPunct w:val="false"/>
        <w:autoSpaceDE w:val="false"/>
        <w:spacing w:lineRule="auto" w:line="276"/>
        <w:ind w:start="1371" w:end="1134"/>
        <w:jc w:val="both"/>
        <w:rPr/>
      </w:pPr>
      <w:r>
        <w:rPr>
          <w:rFonts w:cs="Miriam" w:ascii="Arial TUR;Arial" w:hAnsi="Arial TUR;Arial"/>
          <w:spacing w:val="10"/>
          <w:rtl w:val="true"/>
        </w:rPr>
        <w:t>"..</w:t>
      </w:r>
      <w:r>
        <w:rPr>
          <w:rFonts w:ascii="Arial TUR;Arial" w:hAnsi="Arial TUR;Arial" w:cs="Miriam"/>
          <w:spacing w:val="10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הנשק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מקורה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שעבירה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נעשית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לרוב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ביצוען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אחרות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שמעצם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טבעו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הנשק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כרוכות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בהפחדה</w:t>
      </w:r>
      <w:r>
        <w:rPr>
          <w:rFonts w:cs="Miriam" w:ascii="Arial TUR;Arial" w:hAnsi="Arial TUR;Arial"/>
          <w:spacing w:val="10"/>
          <w:rtl w:val="true"/>
        </w:rPr>
        <w:t xml:space="preserve">... </w:t>
      </w:r>
      <w:r>
        <w:rPr>
          <w:rFonts w:ascii="Arial TUR;Arial" w:hAnsi="Arial TUR;Arial" w:cs="Miriam"/>
          <w:spacing w:val="10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השוררת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בארץ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המתבטאת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בזמינותו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ורב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עוצמה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להסלמת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העבריינית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והחמרה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...</w:t>
      </w:r>
      <w:r>
        <w:rPr>
          <w:rFonts w:ascii="Arial TUR;Arial" w:hAnsi="Arial TUR;Arial" w:cs="Miriam"/>
          <w:spacing w:val="10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ייעשה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קטלני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הרחקת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המחזיק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לפרק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זמן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והעברת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בפועל</w:t>
      </w:r>
      <w:r>
        <w:rPr>
          <w:rFonts w:cs="Miriam" w:ascii="Arial TUR;Arial" w:hAnsi="Arial TUR;Arial"/>
          <w:spacing w:val="10"/>
          <w:rtl w:val="true"/>
        </w:rPr>
        <w:t xml:space="preserve">..".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spacing w:val="10"/>
        </w:rPr>
      </w:pPr>
      <w:r>
        <w:rPr>
          <w:rFonts w:cs="Calibri" w:ascii="Calibri" w:hAnsi="Calibri"/>
          <w:spacing w:val="10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ריבוי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הוחזק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המצורפות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נזכיר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תואמות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תואמים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4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24.8.14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9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ואקדח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חיזקו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רחוקות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>"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2822/12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איברהים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דואהרי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25.4.12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להפעלת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12058-07-12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זמירו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21.10.12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וזיגזאוור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תיק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חאסרמה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המנויות</w:t>
      </w:r>
      <w:r>
        <w:rPr>
          <w:rFonts w:ascii="Calibri" w:hAnsi="Calibri" w:cs="Calibri"/>
          <w:rtl w:val="true"/>
        </w:rPr>
        <w:t xml:space="preserve"> 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אביזר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מניעיו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המדויקים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מלבצעם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 </w:t>
      </w:r>
      <w:r>
        <w:rPr>
          <w:rFonts w:ascii="Calibri" w:hAnsi="Calibri" w:cs="Calibri"/>
          <w:b/>
          <w:b/>
          <w:bCs/>
          <w:u w:val="single"/>
          <w:rtl w:val="true"/>
        </w:rPr>
        <w:t>סיכון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חיי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אדם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במזיד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הפרעה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לשוטר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הפרת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הוראה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חוקית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הסלימו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ומופקרת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ונציגי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965/10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חאלד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28.7.10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088" w:end="1418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כאמור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המיוחסים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למערער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ביותר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ומבטאים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זלזול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ובזולת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והדגיש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התנהגות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שכזו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משמעותית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ומרתיעה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מאחורי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ובריח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המערער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בחוצפה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ובעזות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מצח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מנציגי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שאכן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הנדון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סירוב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נהגים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להוראות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שוטרים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ובריחה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פרועה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ומסוכנת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ברכב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קיבלה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מימדים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מדאיגים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להכביד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ולהציב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ברזל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אפס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סובלנות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ומסוכנות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להמשיך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ולהתפשט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והמסר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יורחק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ממושך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התפרעות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בכבישים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וזלזול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בנציגי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תעבור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בשתיקה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מערכת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וכלה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תעמוד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מנגד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העבריינים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ישלמו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וייראו</w:t>
      </w:r>
      <w:r>
        <w:rPr>
          <w:rFonts w:cs="Miriam" w:ascii="Calibri" w:hAnsi="Calibri"/>
          <w:rtl w:val="true"/>
        </w:rPr>
        <w:t xml:space="preserve">.."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entury" w:ascii="Century" w:hAnsi="Century"/>
          <w:spacing w:val="10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4277/14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פראחן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אלזבידי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28.5.15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הנעדר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במזיד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ניסיונות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תפקידם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פוליסת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בעורפם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המופרזת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שחִייב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בפתאומיות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בהגיעוֹ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בדהרה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נחוש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במסלולו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לזריזותם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בפיתוליה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בצמיגי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8064/10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מאזן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נבתיתי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תחבורה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כניסה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רעננה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שבקה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4184/10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סלאמה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אלהוזייל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8.5.12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תחבורה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תקף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והסירנה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טרמפיסט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8.4.14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ופסילת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רישיון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למשך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במזיד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תחבורה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והפקרה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משקה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שחסמה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סטריים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אילץ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חזיתית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מזגזג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להפצרותיהם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בעקבות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ואושפזו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העבירות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הכלולות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כספונטניים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נסלחת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היתפסות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מתוכנן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בראשיתו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עיקרי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השיפוטי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הממלאים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12-36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18-48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נלווים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הטלת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79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בארוסתו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הממתינה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מופנה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לתהליך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cs="Calibri" w:ascii="Calibri" w:hAnsi="Calibri"/>
          <w:b/>
          <w:bCs/>
        </w:rPr>
        <w:t>28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תנאי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8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8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84"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קנס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2,500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1"/>
      <w:footerReference w:type="default" r:id="rId9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41242-02-17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נאיף משארקה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287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329" TargetMode="External"/><Relationship Id="rId14" Type="http://schemas.openxmlformats.org/officeDocument/2006/relationships/hyperlink" Target="http://www.nevo.co.il/law/70301/332" TargetMode="External"/><Relationship Id="rId15" Type="http://schemas.openxmlformats.org/officeDocument/2006/relationships/hyperlink" Target="http://www.nevo.co.il/law/70301/332.b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13" TargetMode="External"/><Relationship Id="rId19" Type="http://schemas.openxmlformats.org/officeDocument/2006/relationships/hyperlink" Target="http://www.nevo.co.il/law/70301/fCa1S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5227/64a.b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1933468" TargetMode="External"/><Relationship Id="rId27" Type="http://schemas.openxmlformats.org/officeDocument/2006/relationships/hyperlink" Target="http://www.nevo.co.il/law/70301/332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87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fCa1S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3093721" TargetMode="External"/><Relationship Id="rId38" Type="http://schemas.openxmlformats.org/officeDocument/2006/relationships/hyperlink" Target="http://www.nevo.co.il/law/70301/40jc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7791493" TargetMode="External"/><Relationship Id="rId43" Type="http://schemas.openxmlformats.org/officeDocument/2006/relationships/hyperlink" Target="http://www.nevo.co.il/case/5969313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950172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6913730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13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580781" TargetMode="External"/><Relationship Id="rId56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3835321" TargetMode="External"/><Relationship Id="rId59" Type="http://schemas.openxmlformats.org/officeDocument/2006/relationships/hyperlink" Target="http://www.nevo.co.il/law/70301/144.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0009157" TargetMode="External"/><Relationship Id="rId62" Type="http://schemas.openxmlformats.org/officeDocument/2006/relationships/hyperlink" Target="http://www.nevo.co.il/law/70301/144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i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738340" TargetMode="External"/><Relationship Id="rId69" Type="http://schemas.openxmlformats.org/officeDocument/2006/relationships/hyperlink" Target="http://www.nevo.co.il/case/17009712" TargetMode="External"/><Relationship Id="rId70" Type="http://schemas.openxmlformats.org/officeDocument/2006/relationships/hyperlink" Target="http://www.nevo.co.il/case/6119835" TargetMode="External"/><Relationship Id="rId71" Type="http://schemas.openxmlformats.org/officeDocument/2006/relationships/hyperlink" Target="http://www.nevo.co.il/case/5942555" TargetMode="External"/><Relationship Id="rId72" Type="http://schemas.openxmlformats.org/officeDocument/2006/relationships/hyperlink" Target="http://www.nevo.co.il/case/7980226" TargetMode="External"/><Relationship Id="rId73" Type="http://schemas.openxmlformats.org/officeDocument/2006/relationships/hyperlink" Target="http://www.nevo.co.il/law/70301/33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275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5227/64a.b" TargetMode="External"/><Relationship Id="rId78" Type="http://schemas.openxmlformats.org/officeDocument/2006/relationships/hyperlink" Target="http://www.nevo.co.il/law/5227" TargetMode="External"/><Relationship Id="rId79" Type="http://schemas.openxmlformats.org/officeDocument/2006/relationships/hyperlink" Target="http://www.nevo.co.il/law/70301/40j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144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32" TargetMode="External"/><Relationship Id="rId84" Type="http://schemas.openxmlformats.org/officeDocument/2006/relationships/hyperlink" Target="http://www.nevo.co.il/law/70301/329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275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287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numbering" Target="numbering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2018-05-08T13:16:00Z</dcterms:created>
  <dc:creator> </dc:creator>
  <dc:description/>
  <cp:keywords/>
  <dc:language>en-IL</dc:language>
  <cp:lastModifiedBy>run</cp:lastModifiedBy>
  <dcterms:modified xsi:type="dcterms:W3CDTF">2018-05-08T13:16:00Z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נאיף משארקה</vt:lpwstr>
  </property>
  <property fmtid="{D5CDD505-2E9C-101B-9397-08002B2CF9AE}" pid="4" name="CASENOTES1">
    <vt:lpwstr>ProcID=235&amp;PartA=12&amp;PartC=36</vt:lpwstr>
  </property>
  <property fmtid="{D5CDD505-2E9C-101B-9397-08002B2CF9AE}" pid="5" name="CASESLISTTMP1">
    <vt:lpwstr>21933468;13093721;7791493;5969313;5950172;16913730;5580781;3835321;20009157;5738340;17009712;6119835;5942555;7980226</vt:lpwstr>
  </property>
  <property fmtid="{D5CDD505-2E9C-101B-9397-08002B2CF9AE}" pid="6" name="CITY">
    <vt:lpwstr>חי'</vt:lpwstr>
  </property>
  <property fmtid="{D5CDD505-2E9C-101B-9397-08002B2CF9AE}" pid="7" name="DATE">
    <vt:lpwstr>20170704</vt:lpwstr>
  </property>
  <property fmtid="{D5CDD505-2E9C-101B-9397-08002B2CF9AE}" pid="8" name="ISABSTRACT">
    <vt:lpwstr>Y</vt:lpwstr>
  </property>
  <property fmtid="{D5CDD505-2E9C-101B-9397-08002B2CF9AE}" pid="9" name="JUDGE">
    <vt:lpwstr>אבי לוי</vt:lpwstr>
  </property>
  <property fmtid="{D5CDD505-2E9C-101B-9397-08002B2CF9AE}" pid="10" name="LAWLISTTMP1">
    <vt:lpwstr>70301/144.a:7;029;332.b;275:3;287.a;fCa1S;040b;40jc.b;040c.a;144.b:2;413;040i;332:2;40ja;144;329;287</vt:lpwstr>
  </property>
  <property fmtid="{D5CDD505-2E9C-101B-9397-08002B2CF9AE}" pid="11" name="LAWLISTTMP2">
    <vt:lpwstr>5227/064a.b</vt:lpwstr>
  </property>
  <property fmtid="{D5CDD505-2E9C-101B-9397-08002B2CF9AE}" pid="12" name="NEWPARTA">
    <vt:lpwstr>41242</vt:lpwstr>
  </property>
  <property fmtid="{D5CDD505-2E9C-101B-9397-08002B2CF9AE}" pid="13" name="NEWPARTB">
    <vt:lpwstr>02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390020170704</vt:lpwstr>
  </property>
  <property fmtid="{D5CDD505-2E9C-101B-9397-08002B2CF9AE}" pid="19" name="TYPE_N_DATE">
    <vt:lpwstr>39020170704</vt:lpwstr>
  </property>
  <property fmtid="{D5CDD505-2E9C-101B-9397-08002B2CF9AE}" pid="20" name="WORDNUMPAGES">
    <vt:lpwstr>13</vt:lpwstr>
  </property>
</Properties>
</file>