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41271-08-14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סויטו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0"/>
                <w:szCs w:val="10"/>
              </w:rPr>
            </w:pPr>
            <w:r>
              <w:rPr>
                <w:rFonts w:cs="FrankRuehl"/>
                <w:sz w:val="10"/>
                <w:szCs w:val="10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89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5"/>
        <w:gridCol w:w="2812"/>
        <w:gridCol w:w="5922"/>
      </w:tblGrid>
      <w:tr>
        <w:trPr/>
        <w:tc>
          <w:tcPr>
            <w:tcW w:w="5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3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6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8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6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פואד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סויטו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315691154</w:t>
            </w:r>
            <w:r>
              <w:rPr>
                <w:b/>
                <w:bCs/>
                <w:rtl w:val="true"/>
              </w:rPr>
              <w:t xml:space="preserve"> 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b/>
                <w:bCs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אביטל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 xml:space="preserve">: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שוד</w:t>
      </w:r>
      <w:r>
        <w:rPr>
          <w:rtl w:val="true"/>
        </w:rPr>
        <w:t xml:space="preserve">) –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bookmarkStart w:id="9" w:name="ABSTRACT_END"/>
      <w:bookmarkEnd w:id="9"/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)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עשאן</w:t>
      </w:r>
      <w:r>
        <w:rPr>
          <w:rtl w:val="true"/>
        </w:rPr>
        <w:t xml:space="preserve">)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19/7/14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19/7/14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העמדה</w:t>
      </w:r>
      <w:r>
        <w:rPr>
          <w:rtl w:val="true"/>
        </w:rPr>
        <w:t xml:space="preserve">), </w:t>
      </w:r>
      <w:r>
        <w:rPr>
          <w:rtl w:val="true"/>
        </w:rPr>
        <w:t>ובהגיעם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משהשיב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הוראתם</w:t>
      </w:r>
      <w:r>
        <w:rPr>
          <w:rtl w:val="true"/>
        </w:rPr>
        <w:t xml:space="preserve">,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הסכין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tl w:val="true"/>
        </w:rPr>
        <w:t xml:space="preserve">.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tl w:val="true"/>
        </w:rPr>
        <w:t xml:space="preserve">, </w:t>
      </w:r>
      <w:r>
        <w:rPr>
          <w:rtl w:val="true"/>
        </w:rPr>
        <w:t>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, </w:t>
      </w:r>
      <w:r>
        <w:rPr>
          <w:rtl w:val="true"/>
        </w:rPr>
        <w:t>להקניטו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חיפושיהם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סאמסונג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גלאקסי</w:t>
      </w:r>
      <w:r>
        <w:rPr>
          <w:rFonts w:cs="Times New Roman"/>
          <w:rtl w:val="true"/>
        </w:rPr>
        <w:t xml:space="preserve"> </w:t>
      </w:r>
      <w:r>
        <w:rPr/>
        <w:t>5s</w:t>
      </w:r>
      <w:r>
        <w:rPr>
          <w:rtl w:val="true"/>
        </w:rPr>
        <w:t xml:space="preserve"> </w:t>
      </w:r>
      <w:r>
        <w:rPr>
          <w:rtl w:val="true"/>
        </w:rPr>
        <w:t>ומחשב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והמחשב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לשומר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מהשומר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ושלם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והפלאפון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41294-08-14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פיש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מנחי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מהשומר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וחוויית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tl w:val="true"/>
        </w:rPr>
        <w:t xml:space="preserve">. </w:t>
      </w:r>
    </w:p>
    <w:p>
      <w:pPr>
        <w:pStyle w:val="Normal"/>
        <w:ind w:hanging="630" w:start="1440"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ובהוסיפה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ומצומצמים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. </w:t>
      </w:r>
    </w:p>
    <w:p>
      <w:pPr>
        <w:pStyle w:val="Normal"/>
        <w:ind w:hanging="63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לערבית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תכניה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שידרש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tl w:val="true"/>
        </w:rPr>
        <w:t xml:space="preserve">,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הועמקה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סויטאת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משרתים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מגדלים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הטוב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ביותר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מופתעים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התופעה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דודים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ודודים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סטודנטים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באוניברסיטה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בכעשר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cs="David" w:ascii="David" w:hAnsi="David"/>
          <w:rtl w:val="true"/>
        </w:rPr>
        <w:t>. 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16-22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סויטו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אדריכל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יועץ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נפתלי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במקצת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יחזור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בחיים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תחבק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מקווה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שתנקטו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בצעדים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טובים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עצמאי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16-21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הדינמיקה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הכפר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והמשפחה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בתעודות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תעודה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סויטו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הנדסאי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פרויקטים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אדריכלות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תעודות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מהאוניברסיטה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באוניברסיטת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לשומר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התאכזרות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וביזוהו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האכזריות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שיותו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ווהערכה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פיש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ind w:start="1440" w:end="0"/>
        <w:jc w:val="both"/>
        <w:rPr>
          <w:rFonts w:ascii="Calibri" w:hAnsi="Calibri" w:cs="Calibri"/>
          <w:sz w:val="6"/>
          <w:szCs w:val="6"/>
        </w:rPr>
      </w:pPr>
      <w:r>
        <w:rPr>
          <w:rFonts w:cs="Calibri" w:ascii="Calibri" w:hAnsi="Calibri"/>
          <w:sz w:val="6"/>
          <w:szCs w:val="6"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מהנדס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המוסלמית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לגמרי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בטענותיו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שהבין את הרע במעשיו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,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ומתבייש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שלונותיו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"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before="0" w:after="200"/>
        <w:ind w:firstLine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Times New Roman"/>
        </w:rPr>
      </w:pPr>
      <w:r>
        <w:rPr>
          <w:b/>
          <w:bCs/>
        </w:rPr>
        <w:t>10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ascii="Arial" w:hAnsi="Arial" w:cs="Arial"/>
          <w:rtl w:val="true"/>
        </w:rPr>
        <w:t>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אם כי קרנה של האחרונה ירדה לאחרונה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בקשר עם 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תדירותן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ההשלכות היכולות להיגרם מהן 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הפחד שמעשים אלה נוטעים בלבו של אדם מן הישוב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כן מושפעת הענישה מנסיבותיהם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עמדתם לגבי העבירות שבצעו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ראו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344/81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שחר סגל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>;</w:t>
      </w:r>
      <w:r>
        <w:rPr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>).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start="720"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;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>". (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156/80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כוכבי בנימין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).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בעטיה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הנגנב</w:t>
      </w:r>
      <w:r>
        <w:rPr>
          <w:rtl w:val="true"/>
        </w:rPr>
        <w:t xml:space="preserve">, </w:t>
      </w:r>
      <w:r>
        <w:rPr>
          <w:rtl w:val="true"/>
        </w:rPr>
        <w:t>לעכבו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",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פורענות</w:t>
      </w:r>
      <w:r>
        <w:rPr>
          <w:rtl w:val="true"/>
        </w:rPr>
        <w:t>.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4177/06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מיישריף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21/6/06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ארבל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</w:rPr>
          <w:t>1379/11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31/7/12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נאור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נשפכו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דיואות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("</w:t>
      </w:r>
      <w:r>
        <w:rPr>
          <w:rFonts w:cs="Miriam"/>
          <w:rtl w:val="true"/>
        </w:rPr>
        <w:t>קר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דנא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בטחונם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להנחלת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לבטחונם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לכבודם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ולרכושם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tl w:val="true"/>
        </w:rPr>
        <w:t>". 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5901/10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17/5/11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).  </w:t>
      </w:r>
    </w:p>
    <w:p>
      <w:pPr>
        <w:pStyle w:val="Normal"/>
        <w:shd w:fill="FFFFFF" w:val="clear"/>
        <w:spacing w:lineRule="auto" w:line="360" w:before="280" w:after="280"/>
        <w:ind w:firstLine="720" w:end="0"/>
        <w:jc w:val="both"/>
        <w:rPr/>
      </w:pP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שוד</w:t>
      </w:r>
      <w:r>
        <w:rPr>
          <w:color w:val="00000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lang w:eastAsia="he-IL"/>
        </w:rPr>
      </w:pPr>
      <w:r>
        <w:rPr>
          <w:rFonts w:cs="Miriam"/>
          <w:rtl w:val="true"/>
          <w:lang w:eastAsia="he-IL"/>
        </w:rPr>
        <w:t>"</w:t>
      </w:r>
      <w:r>
        <w:rPr>
          <w:rFonts w:cs="Miriam"/>
          <w:rtl w:val="true"/>
          <w:lang w:eastAsia="he-IL"/>
        </w:rPr>
        <w:t>ככלל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דינן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בפועל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והטעמים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ברורים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ובגמול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בהרחקת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העבריין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מתאימה</w:t>
      </w:r>
      <w:r>
        <w:rPr>
          <w:rFonts w:cs="Miriam"/>
          <w:rtl w:val="true"/>
          <w:lang w:eastAsia="he-IL"/>
        </w:rPr>
        <w:t xml:space="preserve">; </w:t>
      </w:r>
      <w:r>
        <w:rPr>
          <w:rFonts w:cs="Miriam"/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הנענשות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רבות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ראוי</w:t>
      </w:r>
      <w:r>
        <w:rPr>
          <w:rFonts w:cs="Miriam"/>
          <w:rtl w:val="true"/>
          <w:lang w:eastAsia="he-IL"/>
        </w:rPr>
        <w:t xml:space="preserve">..." </w:t>
      </w:r>
      <w:r>
        <w:rPr>
          <w:rtl w:val="true"/>
          <w:lang w:eastAsia="he-IL"/>
        </w:rPr>
        <w:t>(</w:t>
      </w:r>
      <w:hyperlink r:id="rId3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3219/09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פיראס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חביבי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7/7/09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רובינשטיין</w:t>
      </w:r>
      <w:r>
        <w:rPr>
          <w:rtl w:val="true"/>
          <w:lang w:eastAsia="he-IL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Miriam"/>
          <w:sz w:val="20"/>
          <w:szCs w:val="20"/>
          <w:lang w:eastAsia="he-IL"/>
        </w:rPr>
      </w:pPr>
      <w:r>
        <w:rPr>
          <w:rFonts w:cs="Miriam"/>
          <w:sz w:val="20"/>
          <w:szCs w:val="20"/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tl w:val="true"/>
          <w:lang w:eastAsia="he-IL"/>
        </w:rPr>
        <w:t xml:space="preserve">: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8"/>
          <w:szCs w:val="18"/>
          <w:lang w:eastAsia="he-IL"/>
        </w:rPr>
      </w:pPr>
      <w:r>
        <w:rPr>
          <w:sz w:val="18"/>
          <w:szCs w:val="18"/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rFonts w:cs="Miriam"/>
          <w:sz w:val="20"/>
          <w:szCs w:val="20"/>
          <w:lang w:eastAsia="he-IL"/>
        </w:rPr>
      </w:pPr>
      <w:r>
        <w:rPr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מראש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מצריכות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ואפקטיבית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שייקלט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501/93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בורחוב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); </w:t>
      </w:r>
      <w:hyperlink r:id="rId39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2566/04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>' 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>))</w:t>
      </w:r>
      <w:r>
        <w:rPr>
          <w:rtl w:val="true"/>
        </w:rPr>
        <w:t>"</w:t>
      </w:r>
      <w:r>
        <w:rPr>
          <w:rFonts w:cs="Miriam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4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3069/05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אבוטבול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2/6/06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ובראן</w:t>
      </w:r>
      <w:r>
        <w:rPr>
          <w:rtl w:val="true"/>
          <w:lang w:eastAsia="he-IL"/>
        </w:rPr>
        <w:t>).</w:t>
      </w:r>
    </w:p>
    <w:p>
      <w:pPr>
        <w:pStyle w:val="Normal"/>
        <w:shd w:fill="FFFFFF" w:val="clear"/>
        <w:spacing w:lineRule="auto" w:line="360"/>
        <w:ind w:start="2160" w:end="0"/>
        <w:jc w:val="both"/>
        <w:rPr>
          <w:rFonts w:cs="Miriam"/>
          <w:sz w:val="20"/>
          <w:szCs w:val="20"/>
          <w:lang w:eastAsia="he-IL"/>
        </w:rPr>
      </w:pPr>
      <w:r>
        <w:rPr>
          <w:rFonts w:cs="Miriam"/>
          <w:sz w:val="20"/>
          <w:szCs w:val="20"/>
          <w:rtl w:val="true"/>
          <w:lang w:eastAsia="he-IL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3907/10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נעאמנה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23/3/11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הותיקות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הכרוכים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ונענו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לפיתוי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טווח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וביחידיה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נדבכים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משתלבים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והשני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הפוגעני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והמאיים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יחלימו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צלקותיו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הנפשיות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והודאת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לקולא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והסיוע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ביניש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וחסרי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ישע</w:t>
      </w:r>
      <w:r>
        <w:rPr>
          <w:rFonts w:cs="Miriam"/>
          <w:rtl w:val="true"/>
        </w:rPr>
        <w:t>" (</w:t>
      </w:r>
      <w:hyperlink r:id="rId42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2566/04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כהן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3.11.2004</w:t>
      </w:r>
      <w:r>
        <w:rPr>
          <w:rFonts w:cs="Miriam"/>
          <w:rtl w:val="true"/>
        </w:rPr>
        <w:t>)"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Miriam"/>
          <w:sz w:val="4"/>
          <w:szCs w:val="4"/>
        </w:rPr>
      </w:pPr>
      <w:r>
        <w:rPr>
          <w:rFonts w:cs="Miriam" w:ascii="Calibri" w:hAnsi="Calibri"/>
          <w:sz w:val="4"/>
          <w:szCs w:val="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, </w:t>
      </w:r>
      <w:r>
        <w:rPr>
          <w:rtl w:val="true"/>
        </w:rPr>
        <w:t>לשדוד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באיימו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דרישותיו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משהבינו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שלומו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21127/13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15/1/14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tl w:val="true"/>
        </w:rPr>
        <w:t xml:space="preserve">.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</w:t>
      </w:r>
      <w:r>
        <w:rPr>
          <w:rtl w:val="true"/>
        </w:rPr>
        <w:t xml:space="preserve">",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ובפרטיותו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-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: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11179-04-12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נחמני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21/5/13</w:t>
      </w:r>
      <w:r>
        <w:rPr>
          <w:rFonts w:cs="Calibri" w:ascii="Calibri" w:hAnsi="Calibri"/>
          <w:rtl w:val="true"/>
        </w:rPr>
        <w:t xml:space="preserve">);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11170-04-12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24/9/12</w:t>
      </w:r>
      <w:r>
        <w:rPr>
          <w:rFonts w:cs="Calibri" w:ascii="Calibri" w:hAnsi="Calibri"/>
          <w:rtl w:val="true"/>
        </w:rPr>
        <w:t xml:space="preserve">);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דוחא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24/11/10</w:t>
      </w:r>
      <w:r>
        <w:rPr>
          <w:rFonts w:cs="Calibri" w:ascii="Calibri" w:hAnsi="Calibri"/>
          <w:rtl w:val="true"/>
        </w:rPr>
        <w:t xml:space="preserve">);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43026-04-13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5/5/14</w:t>
      </w:r>
      <w:r>
        <w:rPr>
          <w:rFonts w:cs="Calibri" w:ascii="Calibri" w:hAnsi="Calibri"/>
          <w:rtl w:val="true"/>
        </w:rPr>
        <w:t xml:space="preserve">);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3179/13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ווינר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15/6/15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: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14/9/11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')                  </w:t>
      </w:r>
      <w:r>
        <w:rPr>
          <w:rFonts w:cs="Calibri" w:ascii="Calibri" w:hAnsi="Calibri"/>
          <w:rtl w:val="true"/>
        </w:rPr>
        <w:t xml:space="preserve"> </w:t>
      </w:r>
      <w:hyperlink r:id="rId50">
        <w:r>
          <w:rPr>
            <w:rStyle w:val="Hyperlink"/>
            <w:rFonts w:cs="Calibri" w:ascii="Calibri" w:hAnsi="Calibri"/>
            <w:color w:val="0000FF"/>
            <w:u w:val="single"/>
          </w:rPr>
          <w:t>11904-09-10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מרזוק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19/5/11</w:t>
      </w:r>
      <w:r>
        <w:rPr>
          <w:rFonts w:cs="Calibri" w:ascii="Calibri" w:hAnsi="Calibri"/>
          <w:rtl w:val="true"/>
        </w:rPr>
        <w:t xml:space="preserve">);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ascii="Calibri" w:hAnsi="Calibri" w:cs="Calibri"/>
          <w:b/>
          <w:b/>
          <w:bCs/>
          <w:rtl w:val="true"/>
        </w:rPr>
        <w:t>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21/2/12</w:t>
      </w:r>
      <w:r>
        <w:rPr>
          <w:rFonts w:cs="Calibri" w:ascii="Calibri" w:hAnsi="Calibri"/>
          <w:rtl w:val="true"/>
        </w:rPr>
        <w:t xml:space="preserve">);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22/2/12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24/12/13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14/4/15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ספרטק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8/7/12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23/3/15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 </w:t>
      </w:r>
      <w:hyperlink r:id="rId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28643-04-14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מקסימוב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8/2/15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1304-05-14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1/4/15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35891-03-13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1/9/13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53805-07-12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אינדזיאשוולי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29/4/13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הפרמטרים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5/6/13</w:t>
      </w:r>
      <w:r>
        <w:rPr>
          <w:rFonts w:cs="David" w:ascii="David" w:hAnsi="David"/>
          <w:rtl w:val="true"/>
        </w:rPr>
        <w:t xml:space="preserve">).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6/1/15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2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Miriam" w:hAnsi="Miriam"/>
          <w:rtl w:val="true"/>
        </w:rPr>
        <w:t xml:space="preserve">"... </w:t>
      </w:r>
      <w:r>
        <w:rPr>
          <w:rFonts w:ascii="Miriam" w:hAnsi="Miriam" w:cs="Miriam"/>
          <w:rtl w:val="true"/>
        </w:rPr>
        <w:t>חשוב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לזכור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קיימת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קשת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רחבה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מעשי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שוד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אפשריים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הנבדלים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מזה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בנסיבותיהם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ובמדרג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חומרתם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מידת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הפגיעה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בערכים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החברתיים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גם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מדיניות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הענישה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הנוהגת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תלויים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אפוא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בנסיבותיו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הקונקרטיות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מעשה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השוד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וחומרתו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hyperlink r:id="rId6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772/13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יחיא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פסקה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</w:rPr>
        <w:t>10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29.6.2014</w:t>
      </w:r>
      <w:r>
        <w:rPr>
          <w:rFonts w:cs="Miriam" w:ascii="Miriam" w:hAnsi="Miriam"/>
          <w:rtl w:val="true"/>
        </w:rPr>
        <w:t>) (</w:t>
      </w:r>
      <w:r>
        <w:rPr>
          <w:rFonts w:ascii="Miriam" w:hAnsi="Miriam" w:cs="Miriam"/>
          <w:rtl w:val="true"/>
        </w:rPr>
        <w:t>להלן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ענין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יחיא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זהה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חומרתו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שוד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המתבצע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בצוותא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באישון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לילה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לאחר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תכנון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מוקדם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ותוך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שימוש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לחומרתו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שוד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המתבצע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באופן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ספונטני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ובלתי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מתוכנן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ידי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היחיד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ראו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למשל</w:t>
      </w:r>
      <w:r>
        <w:rPr>
          <w:rFonts w:cs="Miriam" w:ascii="Miriam" w:hAnsi="Miriam"/>
          <w:rtl w:val="true"/>
        </w:rPr>
        <w:t xml:space="preserve">: </w:t>
      </w:r>
      <w:hyperlink r:id="rId64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1286/13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אבו</w:t>
      </w:r>
      <w:r>
        <w:rPr>
          <w:rFonts w:ascii="Miriam" w:hAnsi="Miriam" w:cs="Miriam"/>
          <w:b/>
          <w:b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ג</w:t>
      </w:r>
      <w:r>
        <w:rPr>
          <w:rFonts w:cs="Miriam" w:ascii="Miriam" w:hAnsi="Miriam"/>
          <w:b/>
          <w:rtl w:val="true"/>
        </w:rPr>
        <w:t>'</w:t>
      </w:r>
      <w:r>
        <w:rPr>
          <w:rFonts w:ascii="Miriam" w:hAnsi="Miriam" w:cs="Miriam"/>
          <w:b/>
          <w:b/>
          <w:rtl w:val="true"/>
        </w:rPr>
        <w:t>ומעה</w:t>
      </w:r>
      <w:r>
        <w:rPr>
          <w:rFonts w:ascii="Miriam" w:hAnsi="Miriam" w:cs="Miriam"/>
          <w:b/>
          <w:b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</w:t>
      </w:r>
      <w:r>
        <w:rPr>
          <w:rFonts w:ascii="Miriam" w:hAnsi="Miriam" w:cs="Miriam"/>
          <w:b/>
          <w:b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ישראל</w:t>
      </w:r>
      <w:r>
        <w:rPr>
          <w:rFonts w:cs="Miriam" w:ascii="Miriam" w:hAnsi="Miriam"/>
          <w:b/>
          <w:rtl w:val="true"/>
        </w:rPr>
        <w:t xml:space="preserve">, </w:t>
      </w:r>
      <w:r>
        <w:rPr>
          <w:rFonts w:cs="Miriam" w:ascii="Miriam" w:hAnsi="Miriam"/>
          <w:rtl w:val="true"/>
        </w:rPr>
        <w:t>[</w:t>
      </w:r>
      <w:r>
        <w:rPr>
          <w:rFonts w:ascii="Miriam" w:hAnsi="Miriam" w:cs="Miriam"/>
          <w:rtl w:val="true"/>
        </w:rPr>
        <w:t>פורסם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בנבו</w:t>
      </w:r>
      <w:r>
        <w:rPr>
          <w:rFonts w:cs="Miriam" w:ascii="Miriam" w:hAnsi="Miriam"/>
          <w:rtl w:val="true"/>
        </w:rPr>
        <w:t xml:space="preserve">] </w:t>
      </w:r>
      <w:r>
        <w:rPr>
          <w:rFonts w:ascii="Miriam" w:hAnsi="Miriam" w:cs="Miriam"/>
          <w:b/>
          <w:b/>
          <w:rtl w:val="true"/>
        </w:rPr>
        <w:t>פסקה</w:t>
      </w:r>
      <w:r>
        <w:rPr>
          <w:rFonts w:ascii="Miriam" w:hAnsi="Miriam" w:cs="Miriam"/>
          <w:b/>
          <w:b/>
          <w:rtl w:val="true"/>
        </w:rPr>
        <w:t xml:space="preserve"> </w:t>
      </w:r>
      <w:r>
        <w:rPr>
          <w:rFonts w:cs="Miriam" w:ascii="Miriam" w:hAnsi="Miriam"/>
          <w:b/>
        </w:rPr>
        <w:t>14</w:t>
      </w:r>
      <w:r>
        <w:rPr>
          <w:rFonts w:cs="Miriam" w:ascii="Miriam" w:hAnsi="Miriam"/>
          <w:b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20.1.2014</w:t>
      </w:r>
      <w:r>
        <w:rPr>
          <w:rFonts w:cs="Miriam" w:ascii="Miriam" w:hAnsi="Miriam"/>
          <w:rtl w:val="true"/>
        </w:rPr>
        <w:t>) (</w:t>
      </w:r>
      <w:r>
        <w:rPr>
          <w:rFonts w:ascii="Miriam" w:hAnsi="Miriam" w:cs="Miriam"/>
          <w:rtl w:val="true"/>
        </w:rPr>
        <w:t>להלן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b/>
          <w:b/>
          <w:rtl w:val="true"/>
        </w:rPr>
        <w:t>עניין</w:t>
      </w:r>
      <w:r>
        <w:rPr>
          <w:rFonts w:ascii="Miriam" w:hAnsi="Miriam" w:cs="Miriam"/>
          <w:b/>
          <w:b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אבו</w:t>
      </w:r>
      <w:r>
        <w:rPr>
          <w:rFonts w:ascii="Miriam" w:hAnsi="Miriam" w:cs="Miriam"/>
          <w:b/>
          <w:b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ג</w:t>
      </w:r>
      <w:r>
        <w:rPr>
          <w:rFonts w:cs="Miriam" w:ascii="Miriam" w:hAnsi="Miriam"/>
          <w:b/>
          <w:rtl w:val="true"/>
        </w:rPr>
        <w:t>'</w:t>
      </w:r>
      <w:r>
        <w:rPr>
          <w:rFonts w:ascii="Miriam" w:hAnsi="Miriam" w:cs="Miriam"/>
          <w:b/>
          <w:b/>
          <w:rtl w:val="true"/>
        </w:rPr>
        <w:t>ומעה</w:t>
      </w:r>
      <w:r>
        <w:rPr>
          <w:rFonts w:cs="Miriam" w:ascii="Miriam" w:hAnsi="Miriam"/>
          <w:rtl w:val="true"/>
        </w:rPr>
        <w:t xml:space="preserve">))". </w:t>
      </w:r>
      <w:r>
        <w:rPr>
          <w:rtl w:val="true"/>
        </w:rPr>
        <w:t>(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6/2/14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המבוצעת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מאמציו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לתיקון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תוצאות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העבירה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ולפיצוי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על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הנזק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שנגרם</w:t>
      </w:r>
      <w:r>
        <w:rPr>
          <w:rFonts w:ascii="David" w:hAnsi="David"/>
          <w:sz w:val="26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בגינה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cs="David" w:ascii="David" w:hAnsi="David"/>
          <w:rtl w:val="true"/>
        </w:rPr>
        <w:t>. (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10444/06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25/4/07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4980/01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0"/>
          <w:szCs w:val="20"/>
          <w:u w:val="single"/>
        </w:rPr>
      </w:pPr>
      <w:r>
        <w:rPr>
          <w:rFonts w:cs="David" w:ascii="David" w:hAnsi="David"/>
          <w:b/>
          <w:bCs/>
          <w:sz w:val="20"/>
          <w:szCs w:val="20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אחאיו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צעירים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spacing w:val="10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6/10/13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16/8/14</w:t>
      </w:r>
      <w:r>
        <w:rPr>
          <w:rtl w:val="true"/>
        </w:rPr>
        <w:t xml:space="preserve"> – </w:t>
      </w:r>
      <w:r>
        <w:rPr/>
        <w:t>12/11/14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9/2/15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18/9/15</w:t>
      </w:r>
      <w:r>
        <w:rPr>
          <w:rtl w:val="true"/>
        </w:rPr>
        <w:t xml:space="preserve"> - </w:t>
      </w:r>
      <w:r>
        <w:rPr/>
        <w:t>20/9/15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tl w:val="true"/>
          <w:lang w:eastAsia="he-IL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20"/>
          <w:szCs w:val="20"/>
          <w:lang w:eastAsia="he-IL"/>
        </w:rPr>
      </w:pPr>
      <w:r>
        <w:rPr>
          <w:sz w:val="20"/>
          <w:szCs w:val="20"/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חשיבות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רבה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לעקרון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אחידות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הענישה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משנידון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עשאן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שותפו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וענישה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נלווית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כמפורט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לעיל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משקף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ערכי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השוויון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ההגינות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והצדק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ואף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האינטרס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לשמור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אמון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הציבור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בהליך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הפלילי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ובמערכת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cs="David" w:ascii="David" w:hAnsi="David"/>
          <w:rtl w:val="true"/>
        </w:rPr>
        <w:t>". (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5195/11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קריניאן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28/3/12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 xml:space="preserve">). 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המשתתפים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הייחודיות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בקיומן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5640/97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רייך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נג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433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470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אילן</w:t>
      </w:r>
      <w:r>
        <w:rPr>
          <w:rFonts w:cs="David" w:ascii="David" w:hAnsi="David"/>
          <w:rtl w:val="true"/>
        </w:rPr>
        <w:t xml:space="preserve">; 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3173/09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פראגין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rtl w:val="true"/>
        </w:rPr>
        <w:t>, (</w:t>
      </w:r>
      <w:r>
        <w:rPr>
          <w:rFonts w:cs="David" w:ascii="David" w:hAnsi="David"/>
        </w:rPr>
        <w:t>5/5/09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במפורש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9545/09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rtl w:val="true"/>
        </w:rPr>
        <w:t>, (</w:t>
      </w:r>
      <w:r>
        <w:rPr>
          <w:rFonts w:cs="David" w:ascii="David" w:hAnsi="David"/>
        </w:rPr>
        <w:t>24/3/10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בכשנתיים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משנחסמה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ומשהתנגדה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. 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14/10/14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 xml:space="preserve">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6/1/15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וזילברטל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ארקאן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8/7/15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rtl w:val="true"/>
        </w:rPr>
        <w:softHyphen/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tl w:val="true"/>
        </w:rPr>
        <w:t xml:space="preserve">, </w:t>
      </w:r>
      <w:r>
        <w:rPr>
          <w:rtl w:val="true"/>
        </w:rPr>
        <w:t>משהעריך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למאמצי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נעלם מעיני כי ההגנה טענה שלולא היה הנאשם נתון 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 באפשרותו להעזר בשירות המבחן לצורכי 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מהתסקיר עולה כי הנאשם לא הפיק תועלת ממשית מהשתתפותו בקבוצה הטיפולית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 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 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ההחלטה להעצר שנית היתה 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ששוחרר בתנאים מגבילים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16</w:t>
      </w:r>
      <w:r>
        <w:rPr>
          <w:b/>
          <w:bCs/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</w:rPr>
        <w:t>16/8/14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12/11/14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9/2/15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לחתונת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34"/>
          <w:szCs w:val="34"/>
        </w:rPr>
      </w:pPr>
      <w:r>
        <w:rPr>
          <w:sz w:val="34"/>
          <w:szCs w:val="3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לשומר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1/12/15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הצמדה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17</w:t>
      </w:r>
      <w:r>
        <w:rPr>
          <w:b/>
          <w:bCs/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"/>
          <w:szCs w:val="2"/>
          <w:u w:val="single"/>
        </w:rPr>
      </w:pPr>
      <w:r>
        <w:rPr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</w:t>
      </w:r>
      <w:r>
        <w:rPr>
          <w:b/>
          <w:b/>
          <w:bCs/>
          <w:u w:val="single"/>
          <w:rtl w:val="true"/>
        </w:rPr>
        <w:t>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79"/>
      <w:footerReference w:type="default" r:id="rId80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41271-08-14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פואד סויטו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LineNumber">
    <w:name w:val="lin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b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88729" TargetMode="External"/><Relationship Id="rId22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7939098" TargetMode="External"/><Relationship Id="rId26" Type="http://schemas.openxmlformats.org/officeDocument/2006/relationships/hyperlink" Target="http://www.nevo.co.il/case/5982047" TargetMode="External"/><Relationship Id="rId27" Type="http://schemas.openxmlformats.org/officeDocument/2006/relationships/hyperlink" Target="http://www.nevo.co.il/case/5815848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243627" TargetMode="External"/><Relationship Id="rId31" Type="http://schemas.openxmlformats.org/officeDocument/2006/relationships/hyperlink" Target="http://www.nevo.co.il/case/17940865" TargetMode="External"/><Relationship Id="rId32" Type="http://schemas.openxmlformats.org/officeDocument/2006/relationships/hyperlink" Target="http://www.nevo.co.il/law/70301/40j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942308" TargetMode="External"/><Relationship Id="rId35" Type="http://schemas.openxmlformats.org/officeDocument/2006/relationships/hyperlink" Target="http://www.nevo.co.il/case/5594406" TargetMode="External"/><Relationship Id="rId36" Type="http://schemas.openxmlformats.org/officeDocument/2006/relationships/hyperlink" Target="http://www.nevo.co.il/case/6038879" TargetMode="External"/><Relationship Id="rId37" Type="http://schemas.openxmlformats.org/officeDocument/2006/relationships/hyperlink" Target="http://www.nevo.co.il/case/5882926" TargetMode="External"/><Relationship Id="rId38" Type="http://schemas.openxmlformats.org/officeDocument/2006/relationships/hyperlink" Target="http://www.nevo.co.il/case/17925240" TargetMode="External"/><Relationship Id="rId39" Type="http://schemas.openxmlformats.org/officeDocument/2006/relationships/hyperlink" Target="http://www.nevo.co.il/case/5840665" TargetMode="External"/><Relationship Id="rId40" Type="http://schemas.openxmlformats.org/officeDocument/2006/relationships/hyperlink" Target="http://www.nevo.co.il/case/5873746" TargetMode="External"/><Relationship Id="rId41" Type="http://schemas.openxmlformats.org/officeDocument/2006/relationships/hyperlink" Target="http://www.nevo.co.il/case/5906249" TargetMode="External"/><Relationship Id="rId42" Type="http://schemas.openxmlformats.org/officeDocument/2006/relationships/hyperlink" Target="http://www.nevo.co.il/case/5840665" TargetMode="External"/><Relationship Id="rId43" Type="http://schemas.openxmlformats.org/officeDocument/2006/relationships/hyperlink" Target="http://www.nevo.co.il/case/6018516" TargetMode="External"/><Relationship Id="rId44" Type="http://schemas.openxmlformats.org/officeDocument/2006/relationships/hyperlink" Target="http://www.nevo.co.il/case/3972654" TargetMode="External"/><Relationship Id="rId45" Type="http://schemas.openxmlformats.org/officeDocument/2006/relationships/hyperlink" Target="http://www.nevo.co.il/case/4142792" TargetMode="External"/><Relationship Id="rId46" Type="http://schemas.openxmlformats.org/officeDocument/2006/relationships/hyperlink" Target="http://www.nevo.co.il/case/5792529" TargetMode="External"/><Relationship Id="rId47" Type="http://schemas.openxmlformats.org/officeDocument/2006/relationships/hyperlink" Target="http://www.nevo.co.il/case/6950736" TargetMode="External"/><Relationship Id="rId48" Type="http://schemas.openxmlformats.org/officeDocument/2006/relationships/hyperlink" Target="http://www.nevo.co.il/case/6987507" TargetMode="External"/><Relationship Id="rId49" Type="http://schemas.openxmlformats.org/officeDocument/2006/relationships/hyperlink" Target="http://www.nevo.co.il/case/6151556" TargetMode="External"/><Relationship Id="rId50" Type="http://schemas.openxmlformats.org/officeDocument/2006/relationships/hyperlink" Target="http://www.nevo.co.il/case/5810378" TargetMode="External"/><Relationship Id="rId51" Type="http://schemas.openxmlformats.org/officeDocument/2006/relationships/hyperlink" Target="http://www.nevo.co.il/case/5878682" TargetMode="External"/><Relationship Id="rId52" Type="http://schemas.openxmlformats.org/officeDocument/2006/relationships/hyperlink" Target="http://www.nevo.co.il/case/5724364" TargetMode="External"/><Relationship Id="rId53" Type="http://schemas.openxmlformats.org/officeDocument/2006/relationships/hyperlink" Target="http://www.nevo.co.il/case/8487157" TargetMode="External"/><Relationship Id="rId54" Type="http://schemas.openxmlformats.org/officeDocument/2006/relationships/hyperlink" Target="http://www.nevo.co.il/case/19994720" TargetMode="External"/><Relationship Id="rId55" Type="http://schemas.openxmlformats.org/officeDocument/2006/relationships/hyperlink" Target="http://www.nevo.co.il/case/5578623" TargetMode="External"/><Relationship Id="rId56" Type="http://schemas.openxmlformats.org/officeDocument/2006/relationships/hyperlink" Target="http://www.nevo.co.il/case/18107456" TargetMode="External"/><Relationship Id="rId57" Type="http://schemas.openxmlformats.org/officeDocument/2006/relationships/hyperlink" Target="http://www.nevo.co.il/case/16881469" TargetMode="External"/><Relationship Id="rId58" Type="http://schemas.openxmlformats.org/officeDocument/2006/relationships/hyperlink" Target="http://www.nevo.co.il/case/16901934" TargetMode="External"/><Relationship Id="rId59" Type="http://schemas.openxmlformats.org/officeDocument/2006/relationships/hyperlink" Target="http://www.nevo.co.il/case/6846470" TargetMode="External"/><Relationship Id="rId60" Type="http://schemas.openxmlformats.org/officeDocument/2006/relationships/hyperlink" Target="http://www.nevo.co.il/case/3878183" TargetMode="External"/><Relationship Id="rId61" Type="http://schemas.openxmlformats.org/officeDocument/2006/relationships/hyperlink" Target="http://www.nevo.co.il/case/6473037" TargetMode="External"/><Relationship Id="rId62" Type="http://schemas.openxmlformats.org/officeDocument/2006/relationships/hyperlink" Target="http://www.nevo.co.il/case/16987351" TargetMode="External"/><Relationship Id="rId63" Type="http://schemas.openxmlformats.org/officeDocument/2006/relationships/hyperlink" Target="http://www.nevo.co.il/case/5172599" TargetMode="External"/><Relationship Id="rId64" Type="http://schemas.openxmlformats.org/officeDocument/2006/relationships/hyperlink" Target="http://www.nevo.co.il/case/6426140" TargetMode="External"/><Relationship Id="rId65" Type="http://schemas.openxmlformats.org/officeDocument/2006/relationships/hyperlink" Target="http://www.nevo.co.il/case/7773349" TargetMode="External"/><Relationship Id="rId66" Type="http://schemas.openxmlformats.org/officeDocument/2006/relationships/hyperlink" Target="http://www.nevo.co.il/case/6170256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6862360" TargetMode="External"/><Relationship Id="rId70" Type="http://schemas.openxmlformats.org/officeDocument/2006/relationships/hyperlink" Target="http://www.nevo.co.il/case/5933664" TargetMode="External"/><Relationship Id="rId71" Type="http://schemas.openxmlformats.org/officeDocument/2006/relationships/hyperlink" Target="http://www.nevo.co.il/case/5820942" TargetMode="External"/><Relationship Id="rId72" Type="http://schemas.openxmlformats.org/officeDocument/2006/relationships/hyperlink" Target="http://www.nevo.co.il/case/5880417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6155180" TargetMode="External"/><Relationship Id="rId75" Type="http://schemas.openxmlformats.org/officeDocument/2006/relationships/hyperlink" Target="http://www.nevo.co.il/case/17954542" TargetMode="External"/><Relationship Id="rId76" Type="http://schemas.openxmlformats.org/officeDocument/2006/relationships/hyperlink" Target="http://www.nevo.co.il/case/18093113" TargetMode="External"/><Relationship Id="rId77" Type="http://schemas.openxmlformats.org/officeDocument/2006/relationships/hyperlink" Target="http://www.nevo.co.il/case/17948082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2016-09-26T13:52:00Z</dcterms:created>
  <dc:creator> </dc:creator>
  <dc:description/>
  <cp:keywords/>
  <dc:language>en-IL</dc:language>
  <cp:lastModifiedBy>hofit</cp:lastModifiedBy>
  <dcterms:modified xsi:type="dcterms:W3CDTF">2016-09-26T13:52:00Z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פואד סויטו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17988729;17939098;5982047;5815848;6243627;17940865;5942308;5594406;6038879;5882926;17925240;5840665:2;5873746;5906249;6018516;3972654;4142792;5792529;6950736;6987507;6151556;5810378;5878682;5724364;8487157;19994720;5578623;18107456;16881469;16901934</vt:lpwstr>
  </property>
  <property fmtid="{D5CDD505-2E9C-101B-9397-08002B2CF9AE}" pid="9" name="CASESLISTTMP2">
    <vt:lpwstr>6846470;3878183;6473037;16987351;5172599;6426140;7773349;6170256;6862360;5933664;5820942;5880417;6155180;17954542;18093113;17948082</vt:lpwstr>
  </property>
  <property fmtid="{D5CDD505-2E9C-101B-9397-08002B2CF9AE}" pid="10" name="CITY">
    <vt:lpwstr>חי'</vt:lpwstr>
  </property>
  <property fmtid="{D5CDD505-2E9C-101B-9397-08002B2CF9AE}" pid="11" name="DATE">
    <vt:lpwstr>20151020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70301/499.a.1;029:4;144.a;402.b;192;040i:2;40jb;40ja</vt:lpwstr>
  </property>
  <property fmtid="{D5CDD505-2E9C-101B-9397-08002B2CF9AE}" pid="16" name="LAWYER">
    <vt:lpwstr>משה אביטל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41271</vt:lpwstr>
  </property>
  <property fmtid="{D5CDD505-2E9C-101B-9397-08002B2CF9AE}" pid="23" name="NEWPARTB">
    <vt:lpwstr>08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390020151020</vt:lpwstr>
  </property>
  <property fmtid="{D5CDD505-2E9C-101B-9397-08002B2CF9AE}" pid="35" name="TYPE_N_DATE">
    <vt:lpwstr>39020151020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