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41276-06-17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יחיאל ליפשיץ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ודיע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נה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המבחן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מבוא</w:t>
      </w:r>
    </w:p>
    <w:p>
      <w:pPr>
        <w:pStyle w:val="Normal"/>
        <w:spacing w:lineRule="auto" w:line="360"/>
        <w:ind w:hanging="7" w:start="560" w:end="709"/>
        <w:jc w:val="both"/>
        <w:rPr/>
      </w:pPr>
      <w:bookmarkStart w:id="8" w:name="ABSTRACT_START"/>
      <w:bookmarkEnd w:id="8"/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cs="Calibri" w:ascii="Calibri" w:hAnsi="Calibri"/>
          <w:rtl w:val="true"/>
        </w:rPr>
        <w:t>+</w:t>
      </w:r>
      <w:r>
        <w:rPr>
          <w:rFonts w:ascii="Calibri" w:hAnsi="Calibri" w:cs="Calibri"/>
          <w:rtl w:val="true"/>
        </w:rPr>
        <w:t>סיפא</w:t>
      </w:r>
      <w:r>
        <w:rPr>
          <w:rFonts w:cs="Calibri" w:ascii="Calibri" w:hAnsi="Calibri"/>
          <w:rtl w:val="true"/>
        </w:rPr>
        <w:t>+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12.6.17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u w:val="single"/>
          <w:rtl w:val="true"/>
        </w:rPr>
        <w:t>תמצית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הנטען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בכתב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המתוקן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וכן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הסכמות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הצדדים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בנוגע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אליו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12.6.17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עירון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המרוחק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המקום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בעת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שהייתם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במקום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נשאו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בצוותא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גוסטב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ההדגשה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.).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00:30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"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משהבחינו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מעבר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בהסכם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הכתוב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נוסיף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והמאשימה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לטענת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16-18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לפרוטוקול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תסקירי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3/2018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סוציאלית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וגברית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לנגררות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לתשובות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סותרות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קנביס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6/2018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נחיצות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תרבותיים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טכנאות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ארחיב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3/2018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ולשותפו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ובהתבוננות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לאמביוולנטיות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האמביוולנטיות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27.3.18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6/2018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5/2018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המשתתפים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תעבורתי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11/2016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5.2.17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תעבורה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עכו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5165-02-17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cs="Calibri"/>
          <w:color w:val="FF0000"/>
        </w:rPr>
      </w:pPr>
      <w:r>
        <w:rPr>
          <w:rFonts w:cs="Calibri" w:ascii="Calibri" w:hAnsi="Calibri"/>
          <w:color w:val="FF0000"/>
          <w:rtl w:val="true"/>
        </w:rPr>
      </w:r>
    </w:p>
    <w:p>
      <w:pPr>
        <w:pStyle w:val="Normal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הצדדים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המייצגת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/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קלאסי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01:08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גיאוגרפית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המיוער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מייצגת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בדבריהם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hanging="7" w:start="560" w:end="709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" w:start="560" w:end="709"/>
        <w:contextualSpacing/>
        <w:jc w:val="start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דיון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ומסקנות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ובקצרה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גמולי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אובייקטיבי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4088/13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11.6.13</w:t>
      </w:r>
      <w:r>
        <w:rPr>
          <w:rFonts w:cs="Calibri" w:ascii="Calibri" w:hAnsi="Calibri"/>
          <w:rtl w:val="true"/>
        </w:rPr>
        <w:t xml:space="preserve">),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)). 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);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10.8.06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 w:before="0" w:after="0"/>
        <w:ind w:hanging="7" w:start="560" w:end="709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8.3.17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cs="Calibri" w:ascii="Calibri" w:hAnsi="Calibri"/>
          <w:b/>
          <w:bCs/>
          <w:rtl w:val="true"/>
        </w:rPr>
        <w:tab/>
        <w:t>"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ובכללן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המתגלגל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ביטחונית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פגיעתו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מורגשת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ומהווה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כולו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ההכרח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cs="Calibri" w:ascii="Calibri" w:hAnsi="Calibri"/>
          <w:b/>
          <w:bCs/>
          <w:rtl w:val="true"/>
        </w:rPr>
        <w:t xml:space="preserve">.  . .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הדרגתית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המושתים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 . ".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4215/18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טיב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8.7.18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ולסוגו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קרלו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להיבטי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שבכוחו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לגרום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הבחנה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משנרכש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מתאימה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כנסיבות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צודקים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בהפנותם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בנוגע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שהייתם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בשטח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המיוער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תטען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שהביאו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הנשק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התגלעה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גרסו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ומשהסכימה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מהשמיים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ובגדר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הסכמות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יתקיים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דיוננו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ולפיה די בשתי ההסכמות הראשונות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ולהבדל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בבג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cs="Calibri" w:ascii="Calibri" w:hAnsi="Calibri"/>
            <w:color w:val="0000FF"/>
            <w:u w:val="single"/>
          </w:rPr>
          <w:t>152/83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ממשלת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449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כהן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ביאליק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114-126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מהמקובץ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רגילות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האוחזים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" w:start="560" w:end="709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135/17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560" w:end="709"/>
        <w:jc w:val="both"/>
        <w:rPr>
          <w:rFonts w:ascii="David" w:hAnsi="David" w:cs="David"/>
          <w:b/>
          <w:bCs/>
        </w:rPr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מוּנע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בחרגו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סוף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דבר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בהתחשב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בערכים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החברתיים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הנפגעים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אשמו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לאחר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שלקחתי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בחשבון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הנוהגת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הראויה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סבורה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כי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בענייננו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נע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בין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12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36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מאסר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לטעמי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מהסוג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הנדון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בנסיבות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כאן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להסתפק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להטיל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שירוצה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הכלא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מאחורי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סורג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ובריח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. . 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במקור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.)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הקונקרטיות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ובהשוואה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הימלטותו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560" w:end="709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560" w:end="709"/>
        <w:jc w:val="both"/>
        <w:rPr/>
      </w:pPr>
      <w:r>
        <w:rPr>
          <w:rFonts w:ascii="David" w:hAnsi="David"/>
          <w:b/>
          <w:b/>
          <w:bCs/>
          <w:rtl w:val="true"/>
        </w:rPr>
        <w:t>לאור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קובע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60" w:end="709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hyperlink r:id="rId23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להחליף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9269/17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15.1.18</w:t>
      </w:r>
      <w:r>
        <w:rPr>
          <w:rFonts w:cs="Calibri" w:ascii="Calibri" w:hAnsi="Calibri"/>
          <w:rtl w:val="true"/>
        </w:rPr>
        <w:t xml:space="preserve">);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3.4.2014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משמעות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הסמכות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6637/17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קרנדל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18.4.18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וההפניות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קרנדל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תבוסס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בעלמא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התאפיינו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הפניתי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ועמימות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להסתבכותם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סוציאליים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הנחיצות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שילובם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תרבותיים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חריקות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מסוימות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וניכר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לשביעות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חותמה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12.6.17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7.8.17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12.6.17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23.7.17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שהומלץ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אני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מורה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כדקלמן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לגבי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560" w:end="709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8.7.18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תחילת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31.10.18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560" w:end="709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טלפונים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04-6728405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04-6728421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08-9775099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מינהלית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המבחן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יקפיד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לגבי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560" w:end="709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2.7.18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תחילת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24.10.18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560" w:end="709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טלפונים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04-6728405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04-6728421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08-9775099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מינהלית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המבחן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יקפיד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תשלח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תשלח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257" w:before="0" w:after="160"/>
        <w:ind w:start="560" w:end="709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cs="Calibri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41276-06-17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ודיע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353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ascii="Symbol" w:hAnsi="Symbol" w:eastAsia="Times New Roman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cs="Times New Roman"/>
      <w:b w:val="false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563C1"/>
      <w:u w:val="single"/>
    </w:rPr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character" w:styleId="normal-h">
    <w:name w:val="normal-h"/>
    <w:qFormat/>
    <w:rPr>
      <w:rFonts w:cs="Times New Roman"/>
    </w:rPr>
  </w:style>
  <w:style w:type="character" w:styleId="Style12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1553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2231966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7667123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5887664" TargetMode="External"/><Relationship Id="rId16" Type="http://schemas.openxmlformats.org/officeDocument/2006/relationships/hyperlink" Target="http://www.nevo.co.il/case/22006503" TargetMode="External"/><Relationship Id="rId17" Type="http://schemas.openxmlformats.org/officeDocument/2006/relationships/hyperlink" Target="http://www.nevo.co.il/case/24263578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7791493" TargetMode="External"/><Relationship Id="rId20" Type="http://schemas.openxmlformats.org/officeDocument/2006/relationships/hyperlink" Target="http://www.nevo.co.il/case/17912249" TargetMode="External"/><Relationship Id="rId21" Type="http://schemas.openxmlformats.org/officeDocument/2006/relationships/hyperlink" Target="http://www.nevo.co.il/case/22006503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3506743" TargetMode="External"/><Relationship Id="rId26" Type="http://schemas.openxmlformats.org/officeDocument/2006/relationships/hyperlink" Target="http://www.nevo.co.il/case/11206432" TargetMode="External"/><Relationship Id="rId27" Type="http://schemas.openxmlformats.org/officeDocument/2006/relationships/hyperlink" Target="http://www.nevo.co.il/law/70301/40d" TargetMode="External"/><Relationship Id="rId28" Type="http://schemas.openxmlformats.org/officeDocument/2006/relationships/hyperlink" Target="http://www.nevo.co.il/case/22938500" TargetMode="External"/><Relationship Id="rId29" Type="http://schemas.openxmlformats.org/officeDocument/2006/relationships/hyperlink" Target="http://www.nevo.co.il/law/71553" TargetMode="External"/><Relationship Id="rId30" Type="http://schemas.openxmlformats.org/officeDocument/2006/relationships/hyperlink" Target="http://www.nevo.co.il/law/71553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2018-10-15T15:49:00Z</dcterms:created>
  <dc:creator> </dc:creator>
  <dc:description/>
  <cp:keywords/>
  <dc:language>en-IL</dc:language>
  <cp:lastModifiedBy>run</cp:lastModifiedBy>
  <dcterms:modified xsi:type="dcterms:W3CDTF">2018-10-15T15:49:00Z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ודיע ג'בארין;מחמוד ג'בארין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22231966;7667123;6473037:2;7791493:3;5887664;22006503:2;24263578;17912249;23506743;11206432;22938500</vt:lpwstr>
  </property>
  <property fmtid="{D5CDD505-2E9C-101B-9397-08002B2CF9AE}" pid="9" name="CITY">
    <vt:lpwstr>חי'</vt:lpwstr>
  </property>
  <property fmtid="{D5CDD505-2E9C-101B-9397-08002B2CF9AE}" pid="10" name="DATE">
    <vt:lpwstr>20180717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</vt:lpwstr>
  </property>
  <property fmtid="{D5CDD505-2E9C-101B-9397-08002B2CF9AE}" pid="14" name="LAWLISTTMP1">
    <vt:lpwstr>70301/144.b;029;040d:2</vt:lpwstr>
  </property>
  <property fmtid="{D5CDD505-2E9C-101B-9397-08002B2CF9AE}" pid="15" name="LAWLISTTMP2">
    <vt:lpwstr>71553:2</vt:lpwstr>
  </property>
  <property fmtid="{D5CDD505-2E9C-101B-9397-08002B2CF9AE}" pid="16" name="LAWYER">
    <vt:lpwstr>מוחמד מחאג'נה;עאדל בויראת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41276</vt:lpwstr>
  </property>
  <property fmtid="{D5CDD505-2E9C-101B-9397-08002B2CF9AE}" pid="23" name="NEWPARTB">
    <vt:lpwstr>06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390020180717</vt:lpwstr>
  </property>
  <property fmtid="{D5CDD505-2E9C-101B-9397-08002B2CF9AE}" pid="35" name="TYPE_N_DATE">
    <vt:lpwstr>39020180717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