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41294-08-14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עשאן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זך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עשאן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312355829</w:t>
            </w:r>
            <w:r>
              <w:rPr>
                <w:b/>
                <w:bCs/>
                <w:rtl w:val="true"/>
              </w:rPr>
              <w:t xml:space="preserve"> </w:t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אלעד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אלימלך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 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18.3.15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שוד</w:t>
      </w:r>
      <w:r>
        <w:rPr>
          <w:rFonts w:cs="Calibri" w:ascii="Calibri" w:hAnsi="Calibri"/>
          <w:rtl w:val="true"/>
        </w:rPr>
        <w:t xml:space="preserve">)-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 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</w:t>
      </w:r>
      <w:hyperlink r:id="rId14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17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cs="Calibri" w:ascii="Calibri" w:hAnsi="Calibri"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ואיומים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</w:hyperlink>
      <w:r>
        <w:rPr>
          <w:rFonts w:cs="Calibri" w:ascii="Calibri" w:hAnsi="Calibri"/>
          <w:rtl w:val="true"/>
        </w:rPr>
        <w:t xml:space="preserve"> + </w:t>
      </w:r>
      <w:hyperlink r:id="rId21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bookmarkStart w:id="10" w:name="ABSTRACT_END"/>
      <w:bookmarkEnd w:id="10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פואד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19.7.14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לחזקתם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19.7.14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בעסק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התעשיה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העסק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מאבטח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מהעמדה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ויהרוג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בחיפושיהם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פלאפון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סאמסונג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גאלקסי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S</w:t>
      </w:r>
      <w:r>
        <w:rPr>
          <w:rFonts w:cs="Calibri" w:ascii="Calibri" w:hAnsi="Calibri"/>
        </w:rPr>
        <w:t xml:space="preserve"> 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אייפד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שהשאירו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והטלפון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פואד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ולפגוע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והפלאפון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הנגנב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ולהקניטו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התאכזרות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40247/00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גראפי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מתבטאת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בהשפלה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ובביזוי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בגפם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2839/05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קאדר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האזכריות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וההתעללות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לקריטריונים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ששדד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שלישית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הקבועים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לקריטריון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</w:hyperlink>
      <w:r>
        <w:rPr>
          <w:rFonts w:cs="Calibri" w:ascii="Calibri" w:hAnsi="Calibri"/>
          <w:rtl w:val="true"/>
        </w:rPr>
        <w:t xml:space="preserve"> + </w:t>
      </w:r>
      <w:hyperlink r:id="rId30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ז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פרנסתם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פסיקה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11179-04-12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נחמני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21.5.2013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ששדדו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51,800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לשוד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השותפים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11170-04-12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אודי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24.9.2012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11179-04-12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1804/10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דוחא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24.11.2010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ומצויידים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43026-04-13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5.5.2014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מכולת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נשדדו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2,900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וסיגריות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3179/13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ווינר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15.6.2015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9373/10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14.9.2011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דלמטה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11904-09-10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מרזוק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19.5.2011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hyperlink r:id="rId40">
        <w:r>
          <w:rPr>
            <w:rStyle w:val="Hyperlink"/>
            <w:rFonts w:ascii="Calibri" w:hAnsi="Calibri" w:cs="Calibri"/>
            <w:rtl w:val="true"/>
          </w:rPr>
          <w:t>בע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 xml:space="preserve">פ </w:t>
        </w:r>
        <w:r>
          <w:rPr>
            <w:rStyle w:val="Hyperlink"/>
            <w:rFonts w:cs="Calibri" w:ascii="Calibri" w:hAnsi="Calibri"/>
          </w:rPr>
          <w:t>3156/1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מיל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21.2.2012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והסתייעות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מיכאל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22.2.2012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והפלאפון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ואלכוהול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הזקוקה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לסיועו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למוסדות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בייצוג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לפתחו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הישראלית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16.8.14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12.11.14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התאווררות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בשגרה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פסיקה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28643-04-14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מקסימוב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8.2.2015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מעסיקו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5,500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1304-05-14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הלר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1.4.2015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מדמיע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7,800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35891-03-13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קניאל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1.9.2013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וגניבה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ושפשוף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במרפק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פלאפון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53805-07-12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אינדזיאשוולי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29.4.2013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אופנוע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פלאפון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שפשוף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1.7.15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לפרוטוקול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17-18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שלגרסת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שמאחוריו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ואלכוהול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הקלאסי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ואלכוהול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בעניינו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ועישן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ברזל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הבוגרת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בהתחברותו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לנערי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אקונומית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ולכשלונו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ההתנהגותי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להתרשמותם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לסיכומו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להערכתם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לרגרסיה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3907/10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נעאמנה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>, (</w:t>
      </w:r>
      <w:r>
        <w:rPr>
          <w:rFonts w:cs="Calibri" w:ascii="Calibri" w:hAnsi="Calibri"/>
        </w:rPr>
        <w:t>23.3.11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rtl w:val="true"/>
        </w:rPr>
        <w:tab/>
        <w:t>"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הותיקות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הפליליות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מימי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שערכו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ההצלחה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הכרוכים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ונענו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לפיתוי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הכספי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הכרוך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טווח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פיתוי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נאלצה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אנושית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למצוא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וביחידיה</w:t>
      </w:r>
      <w:r>
        <w:rPr>
          <w:rFonts w:cs="Calibri" w:ascii="Calibri" w:hAnsi="Calibri"/>
          <w:b/>
          <w:bCs/>
          <w:rtl w:val="true"/>
        </w:rPr>
        <w:t xml:space="preserve">.  </w:t>
      </w:r>
      <w:r>
        <w:rPr>
          <w:rFonts w:ascii="Calibri" w:hAnsi="Calibri" w:cs="Calibri"/>
          <w:b/>
          <w:b/>
          <w:bCs/>
          <w:rtl w:val="true"/>
        </w:rPr>
        <w:t>חומרתה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הפרט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מורכבת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נדבכים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משתלבים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האחד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בקניינו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קורבן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דנן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פדיון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זעיר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המיועד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והשני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הפוגעני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האלים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והמאיים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יקבל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קורבן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רכושו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בחזרה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במהרה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יחלימו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צלקותיו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הנפשיות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והודאת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לקולא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אולם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להעביר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לחומרתו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מזוין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והסיוע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כדברי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הנשיאה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ביניש</w:t>
      </w:r>
      <w:r>
        <w:rPr>
          <w:rFonts w:cs="Calibri" w:ascii="Calibri" w:hAnsi="Calibri"/>
          <w:b/>
          <w:bCs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מצווים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תרומתם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למלחמה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שפשתה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במקומותינו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להטיל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ולהגן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שלומם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וחסרי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ישע</w:t>
      </w:r>
      <w:r>
        <w:rPr>
          <w:rFonts w:cs="Calibri" w:ascii="Calibri" w:hAnsi="Calibri"/>
          <w:b/>
          <w:bCs/>
          <w:rtl w:val="true"/>
        </w:rPr>
        <w:t>" (</w:t>
      </w:r>
      <w:hyperlink r:id="rId4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2566/04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כפיר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3.11.2004</w:t>
      </w:r>
      <w:r>
        <w:rPr>
          <w:rFonts w:cs="Calibri" w:ascii="Calibri" w:hAnsi="Calibri"/>
          <w:b/>
          <w:bCs/>
          <w:rtl w:val="true"/>
        </w:rPr>
        <w:t>).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התעללות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והשפלתו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ערך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להתרשמותי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מהשתלבות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למאמצי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בפועל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color w:val="002060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16.8.14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12.11.14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1.9.15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מיום שחרורו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1.12.15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הערבויות שהופקדו והתחייבויות שנחתמו וכן צו לעיכוב יציאה מן הארץ יוותרו על כנם עד לתחילת ריצוי העונש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זכות ערעור תוך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 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41294-08-14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פרקליטות מחוז חיפה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עשאן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f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402.b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case/799656" TargetMode="External"/><Relationship Id="rId23" Type="http://schemas.openxmlformats.org/officeDocument/2006/relationships/hyperlink" Target="http://www.nevo.co.il/case/5859902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/40f" TargetMode="External"/><Relationship Id="rId30" Type="http://schemas.openxmlformats.org/officeDocument/2006/relationships/hyperlink" Target="http://www.nevo.co.il/law/70301/40g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3972654" TargetMode="External"/><Relationship Id="rId33" Type="http://schemas.openxmlformats.org/officeDocument/2006/relationships/hyperlink" Target="http://www.nevo.co.il/case/4142792" TargetMode="External"/><Relationship Id="rId34" Type="http://schemas.openxmlformats.org/officeDocument/2006/relationships/hyperlink" Target="http://www.nevo.co.il/case/3972654" TargetMode="External"/><Relationship Id="rId35" Type="http://schemas.openxmlformats.org/officeDocument/2006/relationships/hyperlink" Target="http://www.nevo.co.il/case/5792529" TargetMode="External"/><Relationship Id="rId36" Type="http://schemas.openxmlformats.org/officeDocument/2006/relationships/hyperlink" Target="http://www.nevo.co.il/case/6950736" TargetMode="External"/><Relationship Id="rId37" Type="http://schemas.openxmlformats.org/officeDocument/2006/relationships/hyperlink" Target="http://www.nevo.co.il/case/6987507" TargetMode="External"/><Relationship Id="rId38" Type="http://schemas.openxmlformats.org/officeDocument/2006/relationships/hyperlink" Target="http://www.nevo.co.il/case/6151556" TargetMode="External"/><Relationship Id="rId39" Type="http://schemas.openxmlformats.org/officeDocument/2006/relationships/hyperlink" Target="http://www.nevo.co.il/case/5810378" TargetMode="External"/><Relationship Id="rId40" Type="http://schemas.openxmlformats.org/officeDocument/2006/relationships/hyperlink" Target="http://www.nevo.co.il/case/5878682" TargetMode="External"/><Relationship Id="rId41" Type="http://schemas.openxmlformats.org/officeDocument/2006/relationships/hyperlink" Target="http://www.nevo.co.il/case/5724364" TargetMode="External"/><Relationship Id="rId42" Type="http://schemas.openxmlformats.org/officeDocument/2006/relationships/hyperlink" Target="http://www.nevo.co.il/law/70301/40d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16881469" TargetMode="External"/><Relationship Id="rId45" Type="http://schemas.openxmlformats.org/officeDocument/2006/relationships/hyperlink" Target="http://www.nevo.co.il/case/16901934" TargetMode="External"/><Relationship Id="rId46" Type="http://schemas.openxmlformats.org/officeDocument/2006/relationships/hyperlink" Target="http://www.nevo.co.il/case/6846470" TargetMode="External"/><Relationship Id="rId47" Type="http://schemas.openxmlformats.org/officeDocument/2006/relationships/hyperlink" Target="http://www.nevo.co.il/case/3878183" TargetMode="External"/><Relationship Id="rId48" Type="http://schemas.openxmlformats.org/officeDocument/2006/relationships/hyperlink" Target="http://www.nevo.co.il/case/5906249" TargetMode="External"/><Relationship Id="rId49" Type="http://schemas.openxmlformats.org/officeDocument/2006/relationships/hyperlink" Target="http://www.nevo.co.il/case/5840665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2017-09-28T10:35:00Z</dcterms:created>
  <dc:creator> </dc:creator>
  <dc:description/>
  <cp:keywords/>
  <dc:language>en-IL</dc:language>
  <cp:lastModifiedBy>run</cp:lastModifiedBy>
  <dcterms:modified xsi:type="dcterms:W3CDTF">2017-09-28T10:35:00Z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חיפה - פלילי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עשאן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799656;5859902;3972654:2;4142792;5792529;6950736;6987507;6151556;5810378;5878682;5724364;16881469;16901934;6846470;3878183;5906249;5840665</vt:lpwstr>
  </property>
  <property fmtid="{D5CDD505-2E9C-101B-9397-08002B2CF9AE}" pid="9" name="CITY">
    <vt:lpwstr>חי'</vt:lpwstr>
  </property>
  <property fmtid="{D5CDD505-2E9C-101B-9397-08002B2CF9AE}" pid="10" name="DATE">
    <vt:lpwstr>20150819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70301/499.a.1;029:4;144.a;402.b;192;040i;40ja:2;040f;040g;040d</vt:lpwstr>
  </property>
  <property fmtid="{D5CDD505-2E9C-101B-9397-08002B2CF9AE}" pid="15" name="LAWYER">
    <vt:lpwstr>אור זך;אלעד אלימלך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41294</vt:lpwstr>
  </property>
  <property fmtid="{D5CDD505-2E9C-101B-9397-08002B2CF9AE}" pid="22" name="NEWPARTB">
    <vt:lpwstr>08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390020150819</vt:lpwstr>
  </property>
  <property fmtid="{D5CDD505-2E9C-101B-9397-08002B2CF9AE}" pid="34" name="TYPE_N_DATE">
    <vt:lpwstr>39020150819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