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41611-10-14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סולטאן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2790"/>
        <w:gridCol w:w="2634"/>
        <w:gridCol w:w="81"/>
      </w:tblGrid>
      <w:tr>
        <w:trPr>
          <w:trHeight w:val="337" w:hRule="atLeast"/>
        </w:trPr>
        <w:tc>
          <w:tcPr>
            <w:tcW w:w="600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רות לורך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</w:p>
        </w:tc>
        <w:tc>
          <w:tcPr>
            <w:tcW w:w="2634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0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תחריר סולטאן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יניב בן הרוש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צבי אבנון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David"/>
        <w:ind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על פי הודאתו בעובדות כתב אישום מתוקן בעבירה של החזקת נשק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David"/>
        <w:ind w:end="0"/>
        <w:jc w:val="both"/>
        <w:rPr/>
      </w:pPr>
      <w:bookmarkStart w:id="9" w:name="ABSTRACT_END"/>
      <w:bookmarkEnd w:id="9"/>
      <w:r>
        <w:rPr>
          <w:rtl w:val="true"/>
        </w:rPr>
        <w:t xml:space="preserve">ההודאה נעשתה במסגרת הסדר טיעון לפיו עותרים הצדדים לגזור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בפועל מיום מעצרו ומאסר על תנאי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  <w:t>הצדדים פירטו את הנסיבות שהביאו אותם להסדר הטיעון הכולל עונש מקל ומדובר לטעמי בנסיבות ושיקולים מוצדקים אשר מצדיקים לכבד את הסדר הטיעון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כפי שפירטו הצדדים</w:t>
      </w:r>
      <w:r>
        <w:rPr>
          <w:rtl w:val="true"/>
        </w:rPr>
        <w:t xml:space="preserve">, </w:t>
      </w:r>
      <w:r>
        <w:rPr>
          <w:rtl w:val="true"/>
        </w:rPr>
        <w:t>נסיבות התיק מלמדות על אינדיקציה ברורה לכך שהנאשם חש מאוים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בני משפחתו ורכושו</w:t>
      </w:r>
      <w:r>
        <w:rPr>
          <w:rtl w:val="true"/>
        </w:rPr>
        <w:t xml:space="preserve">, </w:t>
      </w:r>
      <w:r>
        <w:rPr>
          <w:rtl w:val="true"/>
        </w:rPr>
        <w:t>איום של ממש שכולל יריות לעבר ביתו</w:t>
      </w:r>
      <w:r>
        <w:rPr>
          <w:rtl w:val="true"/>
        </w:rPr>
        <w:t xml:space="preserve">, </w:t>
      </w:r>
      <w:r>
        <w:rPr>
          <w:rtl w:val="true"/>
        </w:rPr>
        <w:t xml:space="preserve">הצתת מכוניותיו כאשר לנוכח אלה פנה למשטרה וביקש את עזרתם אך ללא הועיל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כמוסכם על ידי הצדדים</w:t>
      </w:r>
      <w:r>
        <w:rPr>
          <w:rtl w:val="true"/>
        </w:rPr>
        <w:t xml:space="preserve">, </w:t>
      </w:r>
      <w:r>
        <w:rPr>
          <w:rtl w:val="true"/>
        </w:rPr>
        <w:t>הצטייד הנאשם בנשק לשם הגנה עצמית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  <w:t>לנאשם אמנם עבר פלילי אך לא מדובר בעבר מכביד או רלוונטי לעבירה דנן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  <w:t>לאור המפורט לעיל</w:t>
      </w:r>
      <w:r>
        <w:rPr>
          <w:rtl w:val="true"/>
        </w:rPr>
        <w:t xml:space="preserve">, </w:t>
      </w:r>
      <w:r>
        <w:rPr>
          <w:rtl w:val="true"/>
        </w:rPr>
        <w:t>וכן הודייתו המיידית של הנאשם ומדרג החומרה בו מצויות נסיבות העבירה – אני מכבדת את ההסדר וגוזרת על הנאשם לאורו את העונשים הבאים</w:t>
      </w:r>
      <w:r>
        <w:rPr>
          <w:rtl w:val="true"/>
        </w:rPr>
        <w:t>: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בפועל שתחילתו מיום מעצרו בתיק זה – </w:t>
      </w:r>
      <w:r>
        <w:rPr/>
        <w:t>19.10.14</w:t>
      </w:r>
      <w:r>
        <w:rPr>
          <w:rtl w:val="true"/>
        </w:rPr>
        <w:t xml:space="preserve">. </w:t>
      </w:r>
    </w:p>
    <w:p>
      <w:pPr>
        <w:pStyle w:val="David"/>
        <w:numPr>
          <w:ilvl w:val="0"/>
          <w:numId w:val="1"/>
        </w:numPr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על תנאי 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מהמאסר עבירה בניגוד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b/>
          <w:bCs/>
          <w:sz w:val="26"/>
          <w:szCs w:val="26"/>
          <w:u w:val="double"/>
        </w:rPr>
      </w:pP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>זכות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 xml:space="preserve"> 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>ערעור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 xml:space="preserve"> 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>תוך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 xml:space="preserve"> </w:t>
      </w:r>
      <w:r>
        <w:rPr>
          <w:rStyle w:val="LineNumber"/>
          <w:b/>
          <w:bCs/>
          <w:sz w:val="26"/>
          <w:szCs w:val="26"/>
          <w:u w:val="double"/>
        </w:rPr>
        <w:t>45</w:t>
      </w:r>
      <w:r>
        <w:rPr>
          <w:rStyle w:val="LineNumber"/>
          <w:b/>
          <w:bCs/>
          <w:sz w:val="26"/>
          <w:szCs w:val="26"/>
          <w:u w:val="double"/>
          <w:rtl w:val="true"/>
        </w:rPr>
        <w:t xml:space="preserve"> 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>יום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 xml:space="preserve"> 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>מהיום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 xml:space="preserve"> 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>לבית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 xml:space="preserve"> 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>המשפט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 xml:space="preserve"> </w:t>
      </w:r>
      <w:r>
        <w:rPr>
          <w:rStyle w:val="LineNumber"/>
          <w:b/>
          <w:b/>
          <w:bCs/>
          <w:sz w:val="26"/>
          <w:sz w:val="26"/>
          <w:szCs w:val="26"/>
          <w:u w:val="double"/>
          <w:rtl w:val="true"/>
        </w:rPr>
        <w:t>העליון</w:t>
      </w:r>
      <w:r>
        <w:rPr>
          <w:rStyle w:val="LineNumber"/>
          <w:b/>
          <w:bCs/>
          <w:sz w:val="26"/>
          <w:szCs w:val="26"/>
          <w:u w:val="doub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  <w:color w:val="FFFFFF"/>
          <w:sz w:val="2"/>
          <w:szCs w:val="2"/>
        </w:rPr>
      </w:pPr>
      <w:r>
        <w:rPr>
          <w:rStyle w:val="LineNumber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color w:val="FFFFFF"/>
          <w:sz w:val="2"/>
          <w:szCs w:val="2"/>
        </w:rPr>
        <w:t>54678313</w:t>
      </w: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#8#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 והודע 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06/01/2015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pStyle w:val="David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rtl w:val="true"/>
        </w:rPr>
        <w:tab/>
        <w:tab/>
      </w:r>
      <w:r>
        <w:rPr>
          <w:b/>
          <w:bCs/>
          <w:sz w:val="26"/>
          <w:szCs w:val="26"/>
          <w:rtl w:val="true"/>
        </w:rPr>
        <w:tab/>
        <w:tab/>
        <w:tab/>
        <w:tab/>
        <w:tab/>
      </w:r>
      <w:r>
        <w:rPr>
          <w:b/>
          <w:b/>
          <w:bCs/>
          <w:sz w:val="26"/>
          <w:sz w:val="26"/>
          <w:szCs w:val="26"/>
          <w:rtl w:val="true"/>
        </w:rPr>
        <w:t>רות לורך</w:t>
      </w:r>
      <w:r>
        <w:rPr>
          <w:b/>
          <w:bCs/>
          <w:sz w:val="26"/>
          <w:szCs w:val="26"/>
          <w:rtl w:val="true"/>
        </w:rPr>
        <w:t xml:space="preserve">,  </w:t>
      </w:r>
      <w:r>
        <w:rPr>
          <w:b/>
          <w:b/>
          <w:bCs/>
          <w:sz w:val="26"/>
          <w:sz w:val="26"/>
          <w:szCs w:val="26"/>
          <w:rtl w:val="true"/>
        </w:rPr>
        <w:t xml:space="preserve">שופטת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סג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נ </w:t>
      </w:r>
    </w:p>
    <w:p>
      <w:pPr>
        <w:pStyle w:val="David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  <w:bookmarkStart w:id="10" w:name="_GoBack"/>
      <w:bookmarkStart w:id="11" w:name="_GoBack"/>
      <w:bookmarkEnd w:id="11"/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41611-10-14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תחריר סולטאן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2015-01-12T13:07:00Z</dcterms:created>
  <dc:creator> </dc:creator>
  <dc:description/>
  <cp:keywords/>
  <dc:language>en-IL</dc:language>
  <cp:lastModifiedBy>hofit</cp:lastModifiedBy>
  <dcterms:modified xsi:type="dcterms:W3CDTF">2015-01-12T13:07:00Z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תחריר סולטאן</vt:lpwstr>
  </property>
  <property fmtid="{D5CDD505-2E9C-101B-9397-08002B2CF9AE}" pid="4" name="CITY">
    <vt:lpwstr>מרכז</vt:lpwstr>
  </property>
  <property fmtid="{D5CDD505-2E9C-101B-9397-08002B2CF9AE}" pid="5" name="DATE">
    <vt:lpwstr>20150106</vt:lpwstr>
  </property>
  <property fmtid="{D5CDD505-2E9C-101B-9397-08002B2CF9AE}" pid="6" name="ISABSTRACT">
    <vt:lpwstr>Y</vt:lpwstr>
  </property>
  <property fmtid="{D5CDD505-2E9C-101B-9397-08002B2CF9AE}" pid="7" name="JUDGE">
    <vt:lpwstr>רות לורך</vt:lpwstr>
  </property>
  <property fmtid="{D5CDD505-2E9C-101B-9397-08002B2CF9AE}" pid="8" name="LAWLISTTMP1">
    <vt:lpwstr>70301/144.a;144</vt:lpwstr>
  </property>
  <property fmtid="{D5CDD505-2E9C-101B-9397-08002B2CF9AE}" pid="9" name="LAWYER">
    <vt:lpwstr>יניב בן הרוש;צבי אבנון</vt:lpwstr>
  </property>
  <property fmtid="{D5CDD505-2E9C-101B-9397-08002B2CF9AE}" pid="10" name="NEWPARTA">
    <vt:lpwstr>41611</vt:lpwstr>
  </property>
  <property fmtid="{D5CDD505-2E9C-101B-9397-08002B2CF9AE}" pid="11" name="NEWPARTB">
    <vt:lpwstr>10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390020150106</vt:lpwstr>
  </property>
  <property fmtid="{D5CDD505-2E9C-101B-9397-08002B2CF9AE}" pid="17" name="TYPE_N_DATE">
    <vt:lpwstr>39020150106</vt:lpwstr>
  </property>
  <property fmtid="{D5CDD505-2E9C-101B-9397-08002B2CF9AE}" pid="18" name="WORDNUMPAGES">
    <vt:lpwstr>2</vt:lpwstr>
  </property>
</Properties>
</file>