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6"/>
        <w:gridCol w:w="367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4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41724-02-10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דעאס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5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אוקטובר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דנה מרשק מרום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בן שמואל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סארי דעאס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נוכח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טאמר דעאס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נוכח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ג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לג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ולי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3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מוחמד עבד אל חי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נוכח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בוחבוט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6.2.11</w:t>
      </w:r>
      <w:r>
        <w:rPr>
          <w:rtl w:val="true"/>
        </w:rPr>
        <w:t xml:space="preserve">),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7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[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]. </w:t>
      </w:r>
    </w:p>
    <w:p>
      <w:pPr>
        <w:pStyle w:val="Normal"/>
        <w:spacing w:lineRule="auto" w:line="360"/>
        <w:ind w:start="720" w:end="0"/>
        <w:jc w:val="both"/>
        <w:rPr/>
      </w:pPr>
      <w:bookmarkStart w:id="11" w:name="ABSTRACT_END"/>
      <w:bookmarkEnd w:id="11"/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15.2.11</w:t>
      </w:r>
      <w:r>
        <w:rPr>
          <w:rtl w:val="true"/>
        </w:rPr>
        <w:t xml:space="preserve">),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המתוקנים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18.2.10</w:t>
      </w:r>
      <w:r>
        <w:rPr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טירה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דרוך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גלוי</w:t>
      </w:r>
      <w:r>
        <w:rPr>
          <w:rtl w:val="true"/>
        </w:rPr>
        <w:t xml:space="preserve">,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</w:t>
      </w:r>
      <w:r>
        <w:rPr>
          <w:rtl w:val="true"/>
        </w:rPr>
        <w:t xml:space="preserve">,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כשהסניגור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כשירים</w:t>
      </w:r>
      <w:r>
        <w:rPr>
          <w:rtl w:val="true"/>
        </w:rPr>
        <w:t xml:space="preserve">. </w:t>
      </w:r>
      <w:r>
        <w:rPr>
          <w:rtl w:val="true"/>
        </w:rPr>
        <w:t>ייאמר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ונפוצה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>,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והחזיקו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ודרוך</w:t>
      </w:r>
      <w:r>
        <w:rPr>
          <w:rtl w:val="true"/>
        </w:rPr>
        <w:t xml:space="preserve">,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והאירוע</w:t>
      </w:r>
      <w:r>
        <w:rPr>
          <w:rtl w:val="true"/>
        </w:rPr>
        <w:t xml:space="preserve">,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סטודנט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במכללה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tl w:val="true"/>
        </w:rPr>
        <w:t xml:space="preserve">.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.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לרגליו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בדבריהם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. 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 xml:space="preserve">"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ובלימודים</w:t>
      </w:r>
      <w:r>
        <w:rPr>
          <w:rtl w:val="true"/>
        </w:rPr>
        <w:t xml:space="preserve">.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, </w:t>
      </w:r>
      <w:r>
        <w:rPr>
          <w:rtl w:val="true"/>
        </w:rPr>
        <w:t>הממוקד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ובלימודים</w:t>
      </w:r>
      <w:r>
        <w:rPr>
          <w:rtl w:val="true"/>
        </w:rPr>
        <w:t xml:space="preserve">, </w:t>
      </w:r>
      <w:r>
        <w:rPr>
          <w:rtl w:val="true"/>
        </w:rPr>
        <w:t>וההערכה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מומלץ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לקשייו</w:t>
      </w:r>
      <w:r>
        <w:rPr>
          <w:rtl w:val="true"/>
        </w:rPr>
        <w:t xml:space="preserve">.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מעצמו</w:t>
      </w:r>
      <w:r>
        <w:rPr>
          <w:rtl w:val="true"/>
        </w:rPr>
        <w:t xml:space="preserve">, </w:t>
      </w:r>
      <w:r>
        <w:rPr>
          <w:rtl w:val="true"/>
        </w:rPr>
        <w:t>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, </w:t>
      </w:r>
      <w:r>
        <w:rPr>
          <w:u w:val="single"/>
          <w:rtl w:val="true"/>
        </w:rPr>
        <w:t>פואד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אבו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דחאל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נגד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29.3.2004</w:t>
      </w:r>
      <w:r>
        <w:rPr>
          <w:rtl w:val="true"/>
        </w:rPr>
        <w:t>).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),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.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-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)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מוסמך</w:t>
      </w:r>
      <w:r>
        <w:rPr>
          <w:rtl w:val="true"/>
        </w:rPr>
        <w:t xml:space="preserve">.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 xml:space="preserve">.      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  <w:tab/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</w:t>
      </w:r>
      <w:r>
        <w:rPr>
          <w:rtl w:val="true"/>
        </w:rPr>
        <w:t>'</w:t>
      </w:r>
      <w:r>
        <w:rPr>
          <w:rtl w:val="true"/>
        </w:rPr>
        <w:t>יימס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tl w:val="true"/>
        </w:rPr>
        <w:t>-</w:t>
      </w:r>
      <w:r>
        <w:rPr>
          <w:rtl w:val="true"/>
        </w:rPr>
        <w:t>סבא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15.5.11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8.11.11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,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ההתייצבות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דעתו</w:t>
      </w:r>
      <w:r>
        <w:rPr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tl w:val="true"/>
        </w:rPr>
        <w:t xml:space="preserve">, </w:t>
      </w:r>
      <w:r>
        <w:rPr>
          <w:rtl w:val="true"/>
        </w:rPr>
        <w:t>בכתובת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הפתע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>
          <w:rStyle w:val="normal-h1"/>
        </w:rPr>
      </w:pPr>
      <w:r>
        <w:rPr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hanging="720" w:start="720" w:end="0"/>
        <w:jc w:val="both"/>
        <w:rPr>
          <w:rStyle w:val="normal-h1"/>
        </w:rPr>
      </w:pPr>
      <w:r>
        <w:rPr>
          <w:rStyle w:val="normal-h1"/>
          <w:rtl w:val="true"/>
        </w:rPr>
        <w:tab/>
      </w:r>
      <w:r>
        <w:rPr>
          <w:rStyle w:val="normal-h1"/>
          <w:rtl w:val="true"/>
        </w:rPr>
        <w:t>מאסר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על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תנאי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של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</w:rPr>
        <w:t>8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חודשים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למשך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</w:rPr>
        <w:t>3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שנים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מהיום</w:t>
      </w:r>
      <w:r>
        <w:rPr>
          <w:rStyle w:val="normal-h1"/>
          <w:rtl w:val="true"/>
        </w:rPr>
        <w:t xml:space="preserve">, </w:t>
      </w:r>
      <w:r>
        <w:rPr>
          <w:rStyle w:val="normal-h1"/>
          <w:rtl w:val="true"/>
        </w:rPr>
        <w:t>שלא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יעבור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עבירות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בנשק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לפי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סעיף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</w:rPr>
        <w:t>144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ל</w:t>
      </w:r>
      <w:hyperlink r:id="rId12">
        <w:r>
          <w:rPr>
            <w:rStyle w:val="Hyperlink"/>
            <w:rFonts w:cs="Times New Roman"/>
            <w:sz w:val="20"/>
            <w:sz w:val="20"/>
            <w:szCs w:val="20"/>
            <w:rtl w:val="true"/>
          </w:rPr>
          <w:t>חוק העונשין</w:t>
        </w:r>
      </w:hyperlink>
      <w:r>
        <w:rPr>
          <w:rStyle w:val="normal-h1"/>
          <w:rtl w:val="true"/>
        </w:rPr>
        <w:t xml:space="preserve">, </w:t>
      </w:r>
      <w:r>
        <w:rPr>
          <w:rStyle w:val="normal-h1"/>
          <w:rtl w:val="true"/>
        </w:rPr>
        <w:t>לרבות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סיוע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ו</w:t>
      </w:r>
      <w:r>
        <w:rPr>
          <w:rStyle w:val="normal-h1"/>
          <w:rtl w:val="true"/>
        </w:rPr>
        <w:t>/</w:t>
      </w:r>
      <w:r>
        <w:rPr>
          <w:rStyle w:val="normal-h1"/>
          <w:rtl w:val="true"/>
        </w:rPr>
        <w:t>או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נסיון</w:t>
      </w:r>
      <w:r>
        <w:rPr>
          <w:rStyle w:val="normal-h1"/>
          <w:rtl w:val="true"/>
        </w:rPr>
        <w:t>.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ab/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  <w:tab/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2500</w:t>
      </w:r>
      <w:r>
        <w:rPr>
          <w:rFonts w:eastAsia="David" w:ascii="David" w:hAnsi="David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1.4.2012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  <w:tab/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tl w:val="true"/>
        </w:rPr>
        <w:t>-</w:t>
      </w:r>
      <w:r>
        <w:rPr>
          <w:rtl w:val="true"/>
        </w:rPr>
        <w:t>סבא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15.5.11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8.11.11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,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ההתייצבות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דעתו</w:t>
      </w:r>
      <w:r>
        <w:rPr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tl w:val="true"/>
        </w:rPr>
        <w:t xml:space="preserve">, </w:t>
      </w:r>
      <w:r>
        <w:rPr>
          <w:rtl w:val="true"/>
        </w:rPr>
        <w:t>בכתובת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הפתע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>
          <w:rStyle w:val="normal-h1"/>
        </w:rPr>
      </w:pPr>
      <w:r>
        <w:rPr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hanging="720" w:start="720" w:end="0"/>
        <w:jc w:val="both"/>
        <w:rPr>
          <w:rStyle w:val="normal-h1"/>
        </w:rPr>
      </w:pPr>
      <w:r>
        <w:rPr>
          <w:rStyle w:val="normal-h1"/>
          <w:rtl w:val="true"/>
        </w:rPr>
        <w:tab/>
      </w:r>
      <w:r>
        <w:rPr>
          <w:rStyle w:val="normal-h1"/>
          <w:rtl w:val="true"/>
        </w:rPr>
        <w:t>מאסר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על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תנאי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של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</w:rPr>
        <w:t>8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חודשים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למשך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</w:rPr>
        <w:t>3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שנים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מהיום</w:t>
      </w:r>
      <w:r>
        <w:rPr>
          <w:rStyle w:val="normal-h1"/>
          <w:rtl w:val="true"/>
        </w:rPr>
        <w:t xml:space="preserve">, </w:t>
      </w:r>
      <w:r>
        <w:rPr>
          <w:rStyle w:val="normal-h1"/>
          <w:rtl w:val="true"/>
        </w:rPr>
        <w:t>שלא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יעבור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עבירות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בנשק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לפי</w:t>
      </w:r>
      <w:r>
        <w:rPr>
          <w:rStyle w:val="normal-h1"/>
          <w:rFonts w:cs="Times New Roman"/>
          <w:rtl w:val="true"/>
        </w:rPr>
        <w:t xml:space="preserve"> </w:t>
      </w:r>
      <w:hyperlink r:id="rId13">
        <w:r>
          <w:rPr>
            <w:rStyle w:val="Hyperlink"/>
            <w:rFonts w:ascii="Times New Roman" w:hAnsi="Times New Roman" w:cs="Times New Roman"/>
            <w:color w:val="0000FF"/>
            <w:sz w:val="20"/>
            <w:sz w:val="20"/>
            <w:szCs w:val="20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0"/>
            <w:sz w:val="20"/>
            <w:szCs w:val="20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0"/>
            <w:sz w:val="20"/>
            <w:szCs w:val="20"/>
            <w:u w:val="single"/>
          </w:rPr>
          <w:t>144</w:t>
        </w:r>
      </w:hyperlink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ל</w:t>
      </w:r>
      <w:hyperlink r:id="rId14">
        <w:r>
          <w:rPr>
            <w:rStyle w:val="Hyperlink"/>
            <w:rFonts w:cs="Times New Roman"/>
            <w:sz w:val="20"/>
            <w:sz w:val="20"/>
            <w:szCs w:val="20"/>
            <w:rtl w:val="true"/>
          </w:rPr>
          <w:t>חוק העונשין</w:t>
        </w:r>
      </w:hyperlink>
      <w:r>
        <w:rPr>
          <w:rStyle w:val="normal-h1"/>
          <w:rtl w:val="true"/>
        </w:rPr>
        <w:t xml:space="preserve">, </w:t>
      </w:r>
      <w:r>
        <w:rPr>
          <w:rStyle w:val="normal-h1"/>
          <w:rtl w:val="true"/>
        </w:rPr>
        <w:t>לרבות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סיוע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ו</w:t>
      </w:r>
      <w:r>
        <w:rPr>
          <w:rStyle w:val="normal-h1"/>
          <w:rtl w:val="true"/>
        </w:rPr>
        <w:t>/</w:t>
      </w:r>
      <w:r>
        <w:rPr>
          <w:rStyle w:val="normal-h1"/>
          <w:rtl w:val="true"/>
        </w:rPr>
        <w:t>או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נסיון</w:t>
      </w:r>
      <w:r>
        <w:rPr>
          <w:rStyle w:val="normal-h1"/>
          <w:rtl w:val="true"/>
        </w:rPr>
        <w:t>.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ab/>
      </w:r>
    </w:p>
    <w:p>
      <w:pPr>
        <w:pStyle w:val="Normal"/>
        <w:tabs>
          <w:tab w:val="clear" w:pos="720"/>
          <w:tab w:val="left" w:pos="566" w:leader="none"/>
          <w:tab w:val="left" w:pos="746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  <w:tab/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1.4.2012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color w:val="FF0000"/>
        </w:rPr>
      </w:pP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18.02.2010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16.03.2010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720" w:end="0"/>
        <w:jc w:val="both"/>
        <w:rPr/>
      </w:pPr>
      <w:r>
        <w:rPr>
          <w:rtl w:val="true"/>
        </w:rPr>
        <w:tab/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hanging="720" w:start="720" w:end="0"/>
        <w:jc w:val="both"/>
        <w:rPr>
          <w:rStyle w:val="normal-h1"/>
        </w:rPr>
      </w:pPr>
      <w:r>
        <w:rPr>
          <w:rStyle w:val="normal-h1"/>
          <w:rtl w:val="true"/>
        </w:rPr>
        <w:tab/>
      </w:r>
      <w:r>
        <w:rPr>
          <w:rStyle w:val="normal-h1"/>
          <w:rtl w:val="true"/>
        </w:rPr>
        <w:t>מאסר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על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תנאי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של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</w:rPr>
        <w:t>10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חודשים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למשך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</w:rPr>
        <w:t>3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שנים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מיום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שחרורו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מהמאסר</w:t>
      </w:r>
      <w:r>
        <w:rPr>
          <w:rStyle w:val="normal-h1"/>
          <w:rtl w:val="true"/>
        </w:rPr>
        <w:t xml:space="preserve">, </w:t>
      </w:r>
      <w:r>
        <w:rPr>
          <w:rStyle w:val="normal-h1"/>
          <w:rtl w:val="true"/>
        </w:rPr>
        <w:t>שלא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יעבור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עבירות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בנשק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לפי</w:t>
      </w:r>
      <w:r>
        <w:rPr>
          <w:rStyle w:val="normal-h1"/>
          <w:rFonts w:cs="Times New Roman"/>
          <w:rtl w:val="true"/>
        </w:rPr>
        <w:t xml:space="preserve"> </w:t>
      </w:r>
      <w:hyperlink r:id="rId15">
        <w:r>
          <w:rPr>
            <w:rStyle w:val="Hyperlink"/>
            <w:rFonts w:ascii="Times New Roman" w:hAnsi="Times New Roman" w:cs="Times New Roman"/>
            <w:color w:val="0000FF"/>
            <w:sz w:val="20"/>
            <w:sz w:val="20"/>
            <w:szCs w:val="20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0"/>
            <w:sz w:val="20"/>
            <w:szCs w:val="20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0"/>
            <w:sz w:val="20"/>
            <w:szCs w:val="20"/>
            <w:u w:val="single"/>
          </w:rPr>
          <w:t>144</w:t>
        </w:r>
      </w:hyperlink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ל</w:t>
      </w:r>
      <w:hyperlink r:id="rId16">
        <w:r>
          <w:rPr>
            <w:rStyle w:val="Hyperlink"/>
            <w:rFonts w:cs="Times New Roman"/>
            <w:sz w:val="20"/>
            <w:sz w:val="20"/>
            <w:szCs w:val="20"/>
            <w:rtl w:val="true"/>
          </w:rPr>
          <w:t>חוק העונשין</w:t>
        </w:r>
      </w:hyperlink>
      <w:r>
        <w:rPr>
          <w:rStyle w:val="normal-h1"/>
          <w:rtl w:val="true"/>
        </w:rPr>
        <w:t xml:space="preserve">, </w:t>
      </w:r>
      <w:r>
        <w:rPr>
          <w:rStyle w:val="normal-h1"/>
          <w:rtl w:val="true"/>
        </w:rPr>
        <w:t>לרבות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סיוע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ו</w:t>
      </w:r>
      <w:r>
        <w:rPr>
          <w:rStyle w:val="normal-h1"/>
          <w:rtl w:val="true"/>
        </w:rPr>
        <w:t>/</w:t>
      </w:r>
      <w:r>
        <w:rPr>
          <w:rStyle w:val="normal-h1"/>
          <w:rtl w:val="true"/>
        </w:rPr>
        <w:t>או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ניסיון</w:t>
      </w:r>
      <w:r>
        <w:rPr>
          <w:rStyle w:val="normal-h1"/>
          <w:rtl w:val="true"/>
        </w:rPr>
        <w:t>.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hanging="720" w:start="720" w:end="0"/>
        <w:jc w:val="both"/>
        <w:rPr>
          <w:rStyle w:val="normal-h1"/>
        </w:rPr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746" w:leader="none"/>
        </w:tabs>
        <w:spacing w:lineRule="auto" w:line="360"/>
        <w:ind w:hanging="567" w:start="720" w:end="0"/>
        <w:jc w:val="both"/>
        <w:rPr/>
      </w:pPr>
      <w:r>
        <w:rPr>
          <w:rStyle w:val="normal-h1"/>
          <w:rtl w:val="true"/>
        </w:rPr>
        <w:tab/>
      </w:r>
      <w:r>
        <w:rPr>
          <w:rtl w:val="true"/>
        </w:rPr>
        <w:tab/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746" w:leader="none"/>
        </w:tabs>
        <w:spacing w:lineRule="auto" w:line="360"/>
        <w:ind w:hanging="567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746" w:leader="none"/>
        </w:tabs>
        <w:spacing w:lineRule="auto" w:line="360"/>
        <w:ind w:hanging="567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746" w:leader="none"/>
        </w:tabs>
        <w:spacing w:lineRule="auto" w:line="360"/>
        <w:ind w:hanging="567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tabs>
          <w:tab w:val="clear" w:pos="720"/>
          <w:tab w:val="left" w:pos="566" w:leader="none"/>
          <w:tab w:val="left" w:pos="746" w:leader="none"/>
        </w:tabs>
        <w:spacing w:lineRule="auto" w:line="360"/>
        <w:ind w:hanging="567" w:start="72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tl w:val="true"/>
        </w:rPr>
        <w:t xml:space="preserve">,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להשמדה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hanging="720" w:start="720" w:end="0"/>
        <w:jc w:val="both"/>
        <w:rPr>
          <w:rStyle w:val="normal-h1"/>
        </w:rPr>
      </w:pPr>
      <w:r>
        <w:rPr>
          <w:rtl w:val="true"/>
        </w:rPr>
      </w:r>
    </w:p>
    <w:p>
      <w:pPr>
        <w:pStyle w:val="Normal"/>
        <w:keepNext w:val="true"/>
        <w:tabs>
          <w:tab w:val="clear" w:pos="720"/>
          <w:tab w:val="left" w:pos="566" w:leader="none"/>
        </w:tabs>
        <w:spacing w:lineRule="auto" w:line="360"/>
        <w:ind w:end="0"/>
        <w:jc w:val="start"/>
        <w:rPr>
          <w:rStyle w:val="normal-h1"/>
          <w:rFonts w:ascii="David" w:hAnsi="David" w:cs="David"/>
          <w:color w:val="000000"/>
          <w:sz w:val="22"/>
          <w:szCs w:val="22"/>
        </w:rPr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start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start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  <w:r>
        <w:rPr>
          <w:rFonts w:cs="FrankRueh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41724-02-10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סארי דעאס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1">
    <w:name w:val="normal-h1"/>
    <w:qFormat/>
    <w:rPr>
      <w:rFonts w:ascii="Times New Roman" w:hAnsi="Times New Roman" w:cs="Times New Roman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3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585240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2016-05-28T21:12:00Z</dcterms:created>
  <dc:creator> </dc:creator>
  <dc:description/>
  <cp:keywords/>
  <dc:language>en-IL</dc:language>
  <cp:lastModifiedBy>yafit</cp:lastModifiedBy>
  <dcterms:modified xsi:type="dcterms:W3CDTF">2016-05-28T21:12:00Z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סארי דעאס;טאמר דעאס;מוחמד עבד אל חי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5852404</vt:lpwstr>
  </property>
  <property fmtid="{D5CDD505-2E9C-101B-9397-08002B2CF9AE}" pid="9" name="CITY">
    <vt:lpwstr>כ"ס</vt:lpwstr>
  </property>
  <property fmtid="{D5CDD505-2E9C-101B-9397-08002B2CF9AE}" pid="10" name="DATE">
    <vt:lpwstr>20111025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מרשק מרום</vt:lpwstr>
  </property>
  <property fmtid="{D5CDD505-2E9C-101B-9397-08002B2CF9AE}" pid="14" name="LAWLISTTMP1">
    <vt:lpwstr>70301/144.a:2;031;144:2</vt:lpwstr>
  </property>
  <property fmtid="{D5CDD505-2E9C-101B-9397-08002B2CF9AE}" pid="15" name="LAWYER">
    <vt:lpwstr>בן שמואל;ג'לג'ולי;בוחבוט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41724</vt:lpwstr>
  </property>
  <property fmtid="{D5CDD505-2E9C-101B-9397-08002B2CF9AE}" pid="22" name="NEWPARTB">
    <vt:lpwstr>02</vt:lpwstr>
  </property>
  <property fmtid="{D5CDD505-2E9C-101B-9397-08002B2CF9AE}" pid="23" name="NEWPARTC">
    <vt:lpwstr>10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380020111025</vt:lpwstr>
  </property>
  <property fmtid="{D5CDD505-2E9C-101B-9397-08002B2CF9AE}" pid="34" name="TYPE_N_DATE">
    <vt:lpwstr>38020111025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