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1"/>
        <w:gridCol w:w="3667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41754-05-22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אגבאריה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פרקליטות מחוז חיפה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אמל אגבריה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ד מוחמד סביחאת  </w:t>
            </w:r>
          </w:p>
        </w:tc>
      </w:tr>
    </w:tbl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11" w:name="ABSTRACT_START"/>
      <w:bookmarkEnd w:id="11"/>
      <w:r>
        <w:rPr>
          <w:rFonts w:ascii="David" w:hAnsi="David"/>
          <w:rtl w:val="true"/>
        </w:rPr>
        <w:t>הנאשם שלפניי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מספר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אישומים שונים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במסגרת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עבירה לפי </w:t>
      </w:r>
      <w:hyperlink r:id="rId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hyperlink r:id="rId16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וכן ירי מנשק 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18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12" w:name="ABSTRACT_END"/>
      <w:bookmarkEnd w:id="12"/>
      <w:r>
        <w:rPr>
          <w:rFonts w:ascii="David" w:hAnsi="David"/>
          <w:rtl w:val="true"/>
        </w:rPr>
        <w:t>במסגרת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הורשע בביצוע התפרעות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19">
        <w:r>
          <w:rPr>
            <w:rStyle w:val="Hyperlink"/>
            <w:rFonts w:cs="David" w:ascii="David" w:hAnsi="David"/>
          </w:rPr>
          <w:t>152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הפרעה לשוטר בשעת מילוי תפקידו בנסיבות מחמירות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סעיף </w:t>
      </w:r>
      <w:hyperlink r:id="rId20">
        <w:r>
          <w:rPr>
            <w:rStyle w:val="Hyperlink"/>
            <w:rFonts w:cs="David" w:ascii="David" w:hAnsi="David"/>
          </w:rPr>
          <w:t>275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+ </w:t>
      </w:r>
      <w:hyperlink r:id="rId21"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שהושג בין הצדדים לא כלל הסכמה לעניין העונש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חזר בו מכפירתו והודה כאמור בעובדות כתב האישום המתוקן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עיקר העובדות המתוארות בו יפורטו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הנוגע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מצוין כי במהלך 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21.5.2021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ביקש מאדם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כי יעביר לרשותו רוס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מחסנית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האחר הביא לנאשם את הנשק יחד עם מחסנית תואמת בה טעונים כדורי תחמושת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התואמים לנשק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הנשק הוא כלי שסוגל לירות כדור שבכוחו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המחסנית והכדורים הם אביזר ותחמושת לנשק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בעוד הנאשם מחזיק בנשק ולבקשתו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הסביר לו האחר כיצד לבצע 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צילם אותו כשהוא אוחז בנשק ובמחסנית המלאה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האחר עזב את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בשטח פתוח מחוץ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ביצע הנאשם ירי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לבקשת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אוס אגבאריה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חברו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אוס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הסכים לשמור עבור הנאשם על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והסתיר אותו בחניון הסמוך לביתו למשך שעתיים לערך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לקח את הנשק מאוס והחזירו לאחר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מפורט בכתב האישום המתוקן כי האירועים התרחשו בעיצומה של מערכה צבאית בין מדינת ישראל לבין ארגון החמא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ברצועת עזה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מערכה אשר כונתה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בימים שקדמו לאירועים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האוכלוסיה האזרחית במדינת ישראל נתונה תחת מתקפה של מאות רקטות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 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מתואר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התעורר גל של הפרות סדר והתפרעויות אלימות ברחבי הארץ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לאומני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גזעני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גל זה כלל תקיפות כלפי כוחות המשטרה והביטחון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כלפי אזרחים יהודים וערבים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במהלכו של חודש מאי 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בצומת הכניסה לאום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לתחנת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גל ההתפרעויות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התקהלו מדי ערב אנשים 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בלא שקיבלו אישור או רישיון לכך מאת משטרת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ההתקהלויות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המשתתפים בהתקהלויות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חלקם רעולי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גרמו נזק לרכוש ציבורי בסביבת הצומת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יידו אבנים אל עבר כוחות משטרה שפעלו בעיר ובסביבתה כדי לשמור על הסדר הציבורי ועל 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וכדי למנוע הפרעה לתנועה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הכל תוך הפרת השלום והסדר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אשר יש בו להטיל אימה על הציבור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ההתפרעויות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הגיע אל המקום בשלושה ימים עוקבים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כמה מחבריו ובהם אוס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השתתף בהתפרעויות וזרק מספר אבנים ממרחק של עשרות מטרים לעבר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כשהוא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 חדא עם המתפרעים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ובמטרה להפריע לשוטרים כשהם ממלאים תפקידם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ולהכשילם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 תסקיר מאת שירות המבחן על אודות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13.3.2023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תחילה על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בכלל זה צוין כי הנאשם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התגורר קודם מעצרו עם משפחתו במושרייפה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יחד עם אחיו בהובלות של מוצרי חשמל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של הנאשם מונה זוג הורים וחמישה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הוא הרביעי בסדר הילודה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 הנאשם זכאי לקצבת נכות מאת המוסד לביטוח לאומי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עובד זה שנים רבות עקב בעיות רפואיות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האם עקרת 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מסר כי הוא בעל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ותעודת בגרות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תאר כי עקב המצב הבריאותי של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נאלץ להתמודד עם קושי כלכלי מגיל צעיר ולסייע בפרנסת המשפחה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לחובת הנאשם לא רשומות הרשעות קודמות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למעשים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הביע חרטה בגין 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ונשא באחריות מלאה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בהתייחסו למעשים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גילה הנאשם אמפטיה מילולית לחברה אשר נפגעת ממעשיו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הוסיף שירות המבחן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ניכר שעיקר קושיו של הנאשם עם השלכות מעשיו נובע מהתמודדותו ומהתמודדות משפחתו עם מעשיו ומעצרו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שיתף את שירות המבחן כי פעל כך מתוך התרגשות ושמחה במהלך אירוע חתונה של קרוב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הידיעה כי התנהלותו בעייתית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ביצוע עבירות הנשק נבע ממאפיינים אישיותיים של תפיסת תפקיד נוקשה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דימוי עצמי נמוך וצורך בהשתייכות חברתית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לעבירת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תאר לפני שירות המבחן כי אותה העת הוא הבחין בהתקהלות של תושבי הכפר לרבות חבריו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נגרר אחרי צעירים אחרים שנכחו במקום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מתוך תחושת שייכות לכפר וכדי להרגיש חלק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מסר כי הוא לא פעל תוך תכנון מוקדם וכי לא היה בכוונתו לפגוע בשוטרים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התנהלותו הייתה מתוך חוסר שיקול דעת ולא מתוך עמדות ותפיסות גזעניות כלפי הממסד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הצליח הוא להכיר בבעייתיות שבהתנהגותו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שביטא צער מילולי 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נטה להתייחסות קונקרטית והתקשה לבטא צורך בהתבוננות ביקורתית מעמיקה על התנהלותו האלימה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גורמי הסיכון לעבריינות אל מול גורמי 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והעריך כי הנאשם עלול להתנהל באלימות מקום בו הוא חש מחויב עקב נורמות או מצבים חברתיים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תרבותיים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אינו ער לעומק למצבי הסיכון הפוטנציאליים בהתנהלותו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בשיח עם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ביטא צורך טיפולי כדי להעמיק בכשליו סביב 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 קיומו של סיכון 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 להישנות התנהגות פורצת גבול מצד הנאשם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מאפייני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הסיכון להישנות התנהגות 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ובהיותו נתון במעצר עד תום ההליכים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נמנע שירות המבחן מליתן המלצה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שנקבע לשם 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הגישה המאשימה גם טיעון כתוב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ראיותיו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ביקש להעיד את אבי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סיכם הסנגור את טיעוניו בעל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ואגב כך הגיש מסמכים רפואיים על אודות הנאשם וקרובי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המלצות מבית הספר בו למד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בגדרי סיכומיה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 אחד מן האישומים מהווה מעשה נפרד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 במועד 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שמדובר באירועים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המצדיקים ענישה נפרדת ומצטברת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עמדה המאשימה על עבירות האלימות המבוצעות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רבו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והנגזרות באופן ישיר מהחזקה של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נשק בלתי חוקי הפכה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מחויב להילחם בתופעה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כתוצאה מהתנהלות הנאשם נפגעו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השמירה 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מידת הפגיעה בערכים המוגנים היא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עמדה עוד בטיעוניה על פסיקת בית המשפט העליון בדבר החומרה שבעבירות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הסיכון הפוטנציאלי בהחזקת נשק שלא כדין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הענישה המחמירה והבלתי מתפשרת שיש להשית על מי אשר מבצע 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אמות המידה אשר התוו בפסיקה באשר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המשיכה המאשימה ועמדה על הנסיבות המחמירות שבענייננו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הוא המעורב העיקרי וחלקו כמעט מוחלט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לא נגרם נזק פיזי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ארע נזק חברתי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הגלום במעשי הנאשם גבוה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וקיים גל הולך וגובר של אירועי רצח המבוצעים באמצעות 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בוצעה הכנה מוקדמת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וקיימת זמינות ומוכנות לשימוש בנשק באופן מיידי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מפי המאשימה כי נפגעו ערכים חברתיים מוגנים של חיי אדם ושמירה על שלמות הגוף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נפגעו באופן ניכר ערכי שלטון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השמירה על הסדר הציבורי ורכוש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נפגע שלומם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בטחונם וכבודם של אנשי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שאלו מילאו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הדגישה כי מדובר במעשים הקוראים תיגר על ריבונות המדינה ועל שלטון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חייב לעבור מסר חד וברור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מי אשר מסכן את כוחות הבטחון ומפריע לפעולתם בתקופה בטחונית רגישה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צפוי לענישה מחמירה שיהא בה להרתיע מפני ביצוע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בית המשפט העליון הדגיש שכאשר מדובר בעבירות המבוצעות על רקע 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בכורה לשיקולי ההרתעה וההגנה על האינטרס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משקל נמוך לנסיבותיו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סבורה כי קיימת חומרה יתרה הטמונה בדינאמיקה של ההמון המוסת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לנסיבות הקשורות בביצוע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חלקו של הנאשם הוא כשל שאר המעורבים בהתפרעויות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לא נגרם נזק פיזי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ארע נזק חברתי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הגלום במעשי הנאשם גבוה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במעשיו כדי להוות סכנה ישירה וממשית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ליתן הדעת על כי הנאשם הגיע למקום באופן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והגעתו חזרה על עצמה שוב ושוב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לפסיקת בתי המשפט בערכאות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בכל הנוגע לאישום הראשון והן בכל הנוגע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מנת ללמד על מדיניות הענישה הנוהגת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הזכירה גם את הוראת השעה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נקבעו עונשי מינימום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הפנתה אף לאמור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מסקנות שירות המבחן מחזקות את עמדתה העונשית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יש לגזור על הנאשם עונש משמעותי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בעובדות כתב האישום המתוקן טרם נשמעו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גילו צעיר באופן יחסי אך אין בדבר להוות חסינות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אין לחובתו עבר פלילי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הגם שיש ליתן הדעת לכך שמדובר בשני אישומים שונים ונפרדים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הנוגע לאישום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לקבוע מתחם עונש הנע 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 הנוגע לאישום השני לקבוע מתחם עונש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בנתוניו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סבורה המאשימה כי יש להשית עונש ברף הנמוך של כל אחד מהמתחמים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להשית על הנאשם עונש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 משמעותי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ציין בפתח טיעוניו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הוראת השעה בדבר עונש מינימום בעבירות נשק לא חלה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ובנוגע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 כי מדובר בהחזקה רגעית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לא בוצעה על רקע פלילי או בטחוני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מדובר באירוע חד פעמי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לעשות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פוזות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שייכות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גם לפני שירות המבחן ציין הנאשם כי הייתה 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הירי בוצע באזור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כלל סיכון לסביבה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לא נטען כי בעת הירי נכחו אנשים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הוא לא בוצע ממניע לאומני או בטחוני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להסתכל על העבירות כפליליות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המעשים בוצעו אמנם בתקופת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אך הם לא בוצעו ממניע אידיאולוגי פוליטי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האבנים נזרקו ממרחק של עשרות מטרים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במספר מצומצם של אבנים קטנות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לא נזרקו לעבר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לא יוחסה עבירה של תקיפת שוטרים או ניסיון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מעשי הנאשם לא נגרם נזק לאדם או לרכוש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אף הסנגור הפנה לפסיקה על מנת ללמד על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סמיכות זמני ביצוע המעשים בשני האישומים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הסנגור כי יש לקבוע מתחם עונש הולם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הנע בין עונש מאסר של מספר חודשים אותו ניתן לרצות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הפנה גם הוא לתסקיר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לא מדובר בתסקיר שלילי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לא כלל בתסקיר 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לא הביע המלצה 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והותיר הדבר לשיקול דעתו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מדובר בנאשם אשר הודה בהזדמנות הראשונה לאחר שתוקן כתב האישום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בראי העובדות הכלולות בו והן בראי הוראות החיקוק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בלא שנשמעו עדים לעניין ההרשעה בדין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 כי הנאשם תמך בבני משפחתו ועזר לאביו הנכה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המתהלך בעזרת קביים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ועבר ניתוח קודם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סובל מבעיות רפואיות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הגיש כאמור מסמכים רפואיים הנוגעים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לאביו ולאחיו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המלצות בעניינו של הנאשם מבית הספר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אשר גילו צעיר בעת ביצוע המעשים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נטול עבר פלילי ומגיע ממשפחה נורמטיבית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לוקח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ומביע חרטה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מבין את הפסול שבמעשיו ומבקש את רחמי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הסנגור את התקופה הארוכה בה נתון הנאשם במעצר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מאז </w:t>
      </w:r>
      <w:r>
        <w:rPr>
          <w:rFonts w:cs="David" w:ascii="David" w:hAnsi="David"/>
        </w:rPr>
        <w:t>28.4.2022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 אמר הנאשם את דברו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שקיבלו ביטוי בפרוטוקול</w:t>
      </w:r>
      <w:r>
        <w:rPr>
          <w:rFonts w:cs="David" w:ascii="David" w:hAnsi="David"/>
          <w:rtl w:val="true"/>
        </w:rPr>
        <w:t>: "</w:t>
      </w:r>
      <w:r>
        <w:rPr>
          <w:rtl w:val="true"/>
        </w:rPr>
        <w:t>סליחה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למעשה עבירה שביצע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יכול לחרוג ממתחם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טרם קביעת מתחם העונש ההולם והשתת העונש הראוי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לקבוע האם המעשים כולם מהווים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בגינם יש לקבוע מתחם עונש אחד ויחיד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שמא מדובר באירועים שונים המצדיקים קביעת מתחמי ענישה שונים ונפרדים בגין כל אחד מן האישומים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אירוע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אירועים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",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ייחשבו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")).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>. "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תכנון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ההימלטות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 xml:space="preserve">.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)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כהווייתו</w:t>
      </w:r>
      <w:r>
        <w:rPr>
          <w:rtl w:val="true"/>
        </w:rPr>
        <w:t>" 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דלאל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/>
        <w:t>25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להפרדה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להשקפתו</w:t>
      </w:r>
      <w:r>
        <w:rPr>
          <w:rtl w:val="true"/>
        </w:rPr>
        <w:t>, "</w:t>
      </w:r>
      <w:r>
        <w:rPr>
          <w:rtl w:val="true"/>
        </w:rPr>
        <w:t>התיבה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'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;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; </w:t>
      </w:r>
      <w:r>
        <w:rPr>
          <w:rtl w:val="true"/>
        </w:rPr>
        <w:t>ובמקומות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" (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23.6.2015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tl w:val="true"/>
        </w:rPr>
        <w:t>, "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התחשבנות</w:t>
      </w:r>
      <w:r>
        <w:rPr>
          <w:rtl w:val="true"/>
        </w:rPr>
        <w:t xml:space="preserve">'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העצמה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כמקיים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וממסכת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הנתונה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בשני אישומים שונים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האישום הראשון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החזקת נשק וירי הימנו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בעבירות הנשק גלומה פגיעה לא מבוטלת בשורה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 נשק שלא כדין מהווה סכנה שמא ייארע באותו נשק שימוש אשר עלול לגרום לנזק רב עד מאוד לרכוש או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יכול לקרות במתכוון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בשוגג תוך שימוש בנשק על ידי מי אשר אינו מיומן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מתקיימות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עליהן אעמוד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 בהן כדי למתן את הפגיעה בערכים החברתיים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ועיקרן החזקה בנשק לזמן קצר וירי באמצעותו באופן שאין בו לסכן חייהם וגופם של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 בגפו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האישום השני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התפרעות והפרעה לשוטר בשעת מילוי תפקידו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התפרעות המונים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בה כדי לפגוע בשלטון החוק ולקרוא עליו תיגר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פגיעה מיוחדת נגרמת לשוטרים המבצעים מלאכתם נאמנה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במעשים אלו כדי להוות פגיעה בסדר הציבורי ובאורח החיים התקין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קיים החשש שמא נוכח נפיצות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עלול הוא להתלקח ותארע פגיעה חמורה ברכוש או בגוף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שבמעשי הנאשם יש כדי לפגוע במספר רב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שמידת הפגיעה אינה מן הגבוהות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לכך שהנאשם הגיע למקום ההתקהלות במשך שלושה ימים 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השתתף בהתפרעויות רק במקרה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השתתפותו כללה זריקת מספר מצומצם של אבנים ממרחק של עשרות מטרים לכיוונם של השוטרים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לנוכח היקפן המתרחב של עבירות המבוצעות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כמו גם לאסונות נוראיים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מבצרם או בגן השעשועים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כל זאת כתוצאה משימוש בנשק של אחרים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ענייננו ב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מכת מדינה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שהצורך להילחם בה על מנת להגן על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. </w:t>
      </w:r>
      <w:r>
        <w:rPr>
          <w:rFonts w:ascii="David" w:hAnsi="David"/>
          <w:b/>
          <w:b/>
          <w:bCs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'.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מגמת ההחמרה והיבט ההרתעה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ארוכה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פסקי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חומרתן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הגבוהה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לשלום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הציבור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וביטחונו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הטמונה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והחזקה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שבעתיים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חוקי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עשוי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לשמש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ביטחוני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עבריינית</w:t>
      </w:r>
      <w:r>
        <w:rPr>
          <w:b/>
          <w:bCs/>
          <w:spacing w:val="10"/>
          <w:rtl w:val="true"/>
        </w:rPr>
        <w:t xml:space="preserve">. </w:t>
      </w:r>
      <w:r>
        <w:rPr>
          <w:spacing w:val="10"/>
          <w:rtl w:val="true"/>
        </w:rPr>
        <w:t xml:space="preserve">... </w:t>
      </w:r>
      <w:r>
        <w:rPr>
          <w:b/>
          <w:b/>
          <w:bCs/>
          <w:spacing w:val="10"/>
          <w:rtl w:val="true"/>
        </w:rPr>
        <w:t>לפיכך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קיימת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ביטוי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הולם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לסכנה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מהן</w:t>
      </w:r>
      <w:r>
        <w:rPr>
          <w:b/>
          <w:bCs/>
          <w:spacing w:val="10"/>
          <w:rtl w:val="true"/>
        </w:rPr>
        <w:t xml:space="preserve">; </w:t>
      </w:r>
      <w:r>
        <w:rPr>
          <w:b/>
          <w:b/>
          <w:bCs/>
          <w:spacing w:val="10"/>
          <w:rtl w:val="true"/>
        </w:rPr>
        <w:t>וזאת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במטרה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היחיד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ביצוען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ברירת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המחדל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אפוא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הנאשם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נעדר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לעבירת ההתפרעות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לדבריו של בית המשפט העליון שנכתבו בנוגע לעבירות שבוצעו על רקע מבצע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שומר החומות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ראו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901/22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אסווד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24.2.2022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לא אחת על החומרה הגלומה בעבירות התפרעויות המונים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מציבות סכנה ישירה וממשית לחיי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עלולות להוביל לפגיעות רציניות בגוף ורכוש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לפיכך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נקבע כי יש לנקוט במדיניות ענישה אשר תרתיע ותרסן התפרעויות העלולות לסחוף המון רב ולצאת מגדר שליטה </w:t>
      </w:r>
      <w:r>
        <w:rPr>
          <w:rFonts w:cs="David" w:ascii="David" w:hAnsi="David"/>
          <w:b/>
          <w:bCs/>
          <w:rtl w:val="true"/>
        </w:rPr>
        <w:t>(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7211/04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לפסק דינה של השופטת א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פרוקציה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13.3.2006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עמד על כך בית משפט זה בפרשה אחרת</w:t>
      </w:r>
      <w:r>
        <w:rPr>
          <w:rFonts w:cs="David" w:ascii="David" w:hAnsi="David"/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643" w:end="1276"/>
        <w:jc w:val="both"/>
        <w:rPr/>
      </w:pP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התפרעויות של המונים בכלל ועל רקע לאומני בפרט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צריכות לזכות לתגובה עונשית קשה וכואבת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יהיה מוצאם של המתפרעים אשר יהיה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כך נוהגת מדינת חוק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וכך זכאים לצפות כל הבאים בשעריו של בית המשפט</w:t>
      </w:r>
      <w:r>
        <w:rPr>
          <w:rFonts w:cs="David" w:ascii="David" w:hAnsi="David"/>
          <w:b/>
          <w:bCs/>
          <w:rtl w:val="true"/>
        </w:rPr>
        <w:t>' (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2285/05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5.12.2005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חמד</w:t>
      </w:r>
      <w:r>
        <w:rPr>
          <w:rFonts w:cs="David" w:ascii="David" w:hAnsi="David"/>
          <w:b/>
          <w:bCs/>
          <w:rtl w:val="true"/>
        </w:rPr>
        <w:t>))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 לעניין חומרתן של התפרעויות ההמונים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והענישה המרתיעה שיש להשית על מי אשר משתתף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4585/22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ערדאת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25.7.2022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חומרה רבה נודעת לעבירות התפרעויות המונים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מסכנות באופן ישיר וממשי חיי אדם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בריאותו וגופו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ואף עלולות להביא לפגיעות ברכוש וקניין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אי לזאת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בית משפט זה עמד לא אחת על הצורך לנקוט במדיניות ענישה מרתיעה אשר תרסן ותמנע השתתפות בהתפרעויות אלימות הסוחפות את ההמון ומסבות נזק רב 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6702/22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4.4.2023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לסבתו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המאוכלוסים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פסיקה אליה הפנה הסנגור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הורשע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לידי המערער הגיע אקדח הזנקה אשר 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נהג במשאית בבעלותו כשהוא מחזיק במשאית את הנשק שהיה חבוי בתוך תיק מתחת למושב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האמור בתסקיר ונסיבותיו הייחודיות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ירוצו בעבודות שירות לצד 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בבית המשפט המחוזי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גזר 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המשיב הושתו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המאסר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3728/22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מסאלחה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9.8.2022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בביצוע עבירות של סיוע לנשיאה והובלה של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3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 xml:space="preserve">סעיף </w:t>
      </w:r>
      <w:hyperlink r:id="rId38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נשיאה והובלה של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3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סיוע לירי מנשק 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</w:t>
      </w:r>
      <w:r>
        <w:rPr>
          <w:rFonts w:ascii="David" w:hAnsi="David"/>
          <w:rtl w:val="true"/>
        </w:rPr>
        <w:t xml:space="preserve">סעיף </w:t>
      </w:r>
      <w:hyperlink r:id="rId41"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הצדדים הסכימו שהמשיבה תטען לעונש ראוי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וההגנה תהא חופשית בטיעוניה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נהג ברכב ואדם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 אבו סבייה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 במושב שלידו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אחריהם נסע צוות בילוש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כשלפתע אבו סבייה הוציא את היד מהחלון וירה ירייה אחת מאקדח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עצר את הרכב בצד הדרך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הבלשים חסמו את הרכב וביצעו 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במהלכו נתפסו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מסוג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בכיס מכנסי המערער והאקדח נתפס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על אבו סבייה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נגזרו </w:t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והפעלה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מותנה במצטבר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8322/21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דחלה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13.4.2022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המערער הורשע לאחר ניהול הוכחות בעבירות לפי </w:t>
      </w:r>
      <w:hyperlink r:id="rId4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; </w:t>
      </w:r>
      <w:hyperlink r:id="rId44"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hyperlink r:id="rId45"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בין משפחת המערער לבין משפחה אחרת בכפרו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המערער לירות בנשק סמוך לבתים בהם מתגוררים אנשים מבני משפחה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 המערער באקדח ובמחסנית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 למצער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כשלידיו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המערער ביצע את הירי 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המערער לא שמע בקול השוטרים שהיו בסמוך וקראו לעברו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עצור משטרה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והמשיך בריצה תוך שהוא זורק את האקדח והמחסנית שהיו ברשותו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על הכרעת הדין וגזר הדין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 - </w:t>
      </w:r>
      <w:r>
        <w:rPr>
          <w:rtl w:val="true"/>
        </w:rPr>
        <w:t>ה</w:t>
      </w:r>
      <w:r>
        <w:rPr>
          <w:rFonts w:ascii="David" w:hAnsi="David"/>
          <w:rtl w:val="true"/>
        </w:rPr>
        <w:t>מערערים הורשעו בביצוע 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נסעו ברכב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לגדר מערכת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נתפסו על ידי שני שוטרים שנסעו אחריהם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נמצא כי המערערים החזיקו בצוותא ברובה ציד דו 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ייג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טעון בשני כדורי תחמושת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נמצאה ברכב חגורה ייעודית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שני המערערים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6068/21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פקיה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המשיב הורשע בעבירות של נשיאת נשק וירי מנשק חם במקום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הגיע למקום במחנה פליטים שועפאט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הסמוך לאולם אירועים בו התקיימה חתונה אותה העת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ששוחח עם שניים אחרים שהחזיקו בנשקים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הוציא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אותו וירה מספר כדורים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 נוכח חומרת העבירות בהן הורשע ובכך שלא פעל להסגרת הנשק לידי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ובהינתן עברו הפלילי 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עונש המאסר בפועל על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tl w:val="true"/>
        </w:rPr>
        <w:t xml:space="preserve">, </w:t>
      </w:r>
      <w:r>
        <w:rPr>
          <w:rtl w:val="true"/>
        </w:rPr>
        <w:t>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44620-01-22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14.12.2022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 xml:space="preserve">) + </w:t>
      </w:r>
      <w:hyperlink r:id="rId5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tl w:val="true"/>
        </w:rPr>
        <w:t>)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)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בשמורה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מחוזי חיפה</w:t>
      </w:r>
      <w:r>
        <w:rPr>
          <w:rFonts w:cs="David" w:ascii="David" w:hAnsi="David"/>
          <w:rtl w:val="true"/>
        </w:rPr>
        <w:t xml:space="preserve">) </w:t>
      </w:r>
      <w:hyperlink r:id="rId53">
        <w:r>
          <w:rPr>
            <w:rStyle w:val="Hyperlink"/>
            <w:rFonts w:cs="David" w:ascii="David" w:hAnsi="David"/>
            <w:color w:val="0000FF"/>
            <w:u w:val="single"/>
          </w:rPr>
          <w:t>19610-08-21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כרום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30.6.2022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באותה הפרשה הורשע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 של נשק ותחמושת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תקיפה בנסיבות מחמירות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בת זוג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בתמצית יפורט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למתואר 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רקע סכסוך כספי הגיעו הנאשמים יחד עם גרושתו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 בית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בן דודו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נושא בידו אקדח ובתוכו מחסנית טעונה בכדורים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תקף את גרושתו ואיים עליה באמצעות האקדח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 בכניסה לבית המתלונן וירה לפחות ארבעה כדורים באוויר לכיוון הבתים הסמוכים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מתגוררים אחיה של גרושתו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בגזר הדין של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 הנוגע לעבירות שביצע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נקבע מתחם הנע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והושתו עליו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</w:rPr>
        <w:tab/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22029-03-21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שאח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2.6.2022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 xml:space="preserve">עזקי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באותה פרשה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הורשע יחד עם הנאשם האחר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הובלה ונשיאה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ירי מנשק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לעזקי עסק למכירת 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הממוקם סמוך לחצר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החזיק ברישיון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לעסק והעביר את הנשק לעזקי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עזקי יצא מהעסק כשהוא מחזיק ונושא את הנשק טעון במחסנית ובכדורים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כיוון כלפי מעלה וירה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עשה כן שוב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עזקי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43009-08-20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גאמע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21.11.2021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17376-05-20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10.3.2021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)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33664-10-22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פרחאת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9.2.2023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11.5.2021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המתקהלים</w:t>
      </w:r>
      <w:r>
        <w:rPr>
          <w:rtl w:val="true"/>
        </w:rPr>
        <w:t xml:space="preserve">,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וברזלים</w:t>
      </w:r>
      <w:r>
        <w:rPr>
          <w:rtl w:val="true"/>
        </w:rPr>
        <w:t xml:space="preserve">; </w:t>
      </w:r>
      <w:r>
        <w:rPr>
          <w:rtl w:val="true"/>
        </w:rPr>
        <w:t>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אלהה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אכבר</w:t>
      </w:r>
      <w:r>
        <w:rPr>
          <w:rtl w:val="true"/>
        </w:rPr>
        <w:t xml:space="preserve">".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והניידות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52096-04-22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14.7.2022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15.5.2021</w:t>
      </w:r>
      <w:r>
        <w:rPr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מששני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)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5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26952-04-22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אנטקלי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9.5.2022</w:t>
      </w:r>
      <w:r>
        <w:rPr>
          <w:rtl w:val="true"/>
        </w:rPr>
        <w:t xml:space="preserve">) -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 </w:t>
      </w:r>
      <w:r>
        <w:rPr>
          <w:rtl w:val="true"/>
        </w:rPr>
        <w:t>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התפרעויות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ואזרחים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מבנים</w:t>
      </w:r>
      <w:r>
        <w:rPr>
          <w:rtl w:val="true"/>
        </w:rPr>
        <w:t xml:space="preserve">, </w:t>
      </w:r>
      <w:r>
        <w:rPr>
          <w:rtl w:val="true"/>
        </w:rPr>
        <w:t>סירות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11.5.2021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6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26998-04-22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9.5.2022</w:t>
      </w:r>
      <w:r>
        <w:rPr>
          <w:rtl w:val="true"/>
        </w:rPr>
        <w:t xml:space="preserve">) -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בליל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10.5.2021</w:t>
      </w:r>
      <w:r>
        <w:rPr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שרפו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לכדו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פלסטין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זונות</w:t>
      </w:r>
      <w:r>
        <w:rPr>
          <w:rtl w:val="true"/>
        </w:rPr>
        <w:t>", "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</w:t>
      </w:r>
      <w:r>
        <w:rPr>
          <w:rtl w:val="true"/>
        </w:rPr>
        <w:t>-</w:t>
      </w:r>
      <w:r>
        <w:rPr>
          <w:rtl w:val="true"/>
        </w:rPr>
        <w:t>אקצא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ובשקיות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זונות</w:t>
      </w:r>
      <w:r>
        <w:rPr>
          <w:rtl w:val="true"/>
        </w:rPr>
        <w:t xml:space="preserve">".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שהתנפצה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משתמה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tl w:val="true"/>
        </w:rPr>
        <w:t xml:space="preserve">,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>, "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25.1.2023</w:t>
      </w:r>
      <w:r>
        <w:rPr>
          <w:rtl w:val="true"/>
        </w:rPr>
        <w:t xml:space="preserve">).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tl w:val="true"/>
        </w:rPr>
        <w:t xml:space="preserve">, </w:t>
      </w:r>
      <w:r>
        <w:rPr>
          <w:rtl w:val="true"/>
        </w:rPr>
        <w:t>פוחת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</w:t>
      </w:r>
      <w:r>
        <w:rPr>
          <w:rtl w:val="true"/>
        </w:rPr>
        <w:t xml:space="preserve">, </w:t>
      </w:r>
      <w:r>
        <w:rPr>
          <w:rtl w:val="true"/>
        </w:rPr>
        <w:t>וכשעתיים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רקטות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וערבים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משולהב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הממסד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פנאטיות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הפוליטי</w:t>
      </w:r>
      <w:r>
        <w:rPr>
          <w:rtl w:val="true"/>
        </w:rPr>
        <w:t>-</w:t>
      </w:r>
      <w:r>
        <w:rPr>
          <w:rtl w:val="true"/>
        </w:rPr>
        <w:t>אידאולוגי</w:t>
      </w:r>
      <w:r>
        <w:rPr>
          <w:rtl w:val="true"/>
        </w:rPr>
        <w:t xml:space="preserve">".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25.1.2023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ואינו מצדיק אף הוא סטייה מהמתחם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להלן לקבוע את העונש המתאים לנאשם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6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ההודאה</w:t>
      </w:r>
      <w:r>
        <w:rPr>
          <w:rtl w:val="true"/>
        </w:rPr>
        <w:t xml:space="preserve">,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סליחה</w:t>
      </w:r>
      <w:r>
        <w:rPr>
          <w:rtl w:val="true"/>
        </w:rPr>
        <w:t xml:space="preserve">. ...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...",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ומאמיתותם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ולבן</w:t>
      </w:r>
      <w:r>
        <w:rPr>
          <w:rtl w:val="true"/>
        </w:rPr>
        <w:t xml:space="preserve">" </w:t>
      </w:r>
      <w:r>
        <w:rPr>
          <w:rtl w:val="true"/>
        </w:rPr>
        <w:t>בחייו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האזנתי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על כן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שלושים ושניים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הנאשם בתאריך </w:t>
      </w:r>
      <w:r>
        <w:rPr>
          <w:rFonts w:cs="David" w:ascii="David" w:hAnsi="David"/>
          <w:b/>
          <w:bCs/>
          <w:sz w:val="24"/>
          <w:szCs w:val="24"/>
        </w:rPr>
        <w:t>28.4.2022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eastAsia="David" w:cs="David"/>
          <w:b/>
          <w:bCs/>
          <w:sz w:val="24"/>
          <w:szCs w:val="24"/>
        </w:rPr>
      </w:pPr>
      <w:r>
        <w:rPr>
          <w:rFonts w:eastAsia="David" w:cs="David" w:ascii="David" w:hAnsi="David"/>
          <w:b/>
          <w:bCs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עבירה של ירי מנשק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לרבות ירי מנשק חם או מי מהעבירות בהן הורשע הנאשם בגדרו של האישום השני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קנס בסך של </w:t>
      </w:r>
      <w:r>
        <w:rPr>
          <w:rFonts w:cs="David" w:ascii="David" w:hAnsi="David"/>
          <w:b/>
          <w:bCs/>
          <w:sz w:val="24"/>
          <w:szCs w:val="24"/>
        </w:rPr>
        <w:t>4,000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ישולם תוך </w:t>
      </w:r>
      <w:r>
        <w:rPr>
          <w:rFonts w:cs="David" w:ascii="David" w:hAnsi="David"/>
          <w:b/>
          <w:bCs/>
          <w:sz w:val="24"/>
          <w:szCs w:val="24"/>
        </w:rPr>
        <w:t>120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ימים מהיום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62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highlight w:val="yellow"/>
        </w:rPr>
      </w:pPr>
      <w:r>
        <w:rPr>
          <w:rFonts w:cs="Arial" w:ascii="Arial" w:hAnsi="Arial"/>
          <w:b/>
          <w:bCs/>
          <w:sz w:val="26"/>
          <w:szCs w:val="26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3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3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41754-05-22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אמל אגבריה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52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law/70301/275a" TargetMode="External"/><Relationship Id="rId10" Type="http://schemas.openxmlformats.org/officeDocument/2006/relationships/hyperlink" Target="http://www.nevo.co.il/law/70301/340a.a" TargetMode="External"/><Relationship Id="rId11" Type="http://schemas.openxmlformats.org/officeDocument/2006/relationships/hyperlink" Target="http://www.nevo.co.il/law/70301/340a.b.1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0a.a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/275a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20033641" TargetMode="External"/><Relationship Id="rId25" Type="http://schemas.openxmlformats.org/officeDocument/2006/relationships/hyperlink" Target="http://www.nevo.co.il/case/17954235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case/28513828" TargetMode="External"/><Relationship Id="rId28" Type="http://schemas.openxmlformats.org/officeDocument/2006/relationships/hyperlink" Target="http://www.nevo.co.il/case/25612982" TargetMode="External"/><Relationship Id="rId29" Type="http://schemas.openxmlformats.org/officeDocument/2006/relationships/hyperlink" Target="http://www.nevo.co.il/case/28296934" TargetMode="External"/><Relationship Id="rId30" Type="http://schemas.openxmlformats.org/officeDocument/2006/relationships/hyperlink" Target="http://www.nevo.co.il/case/377887" TargetMode="External"/><Relationship Id="rId31" Type="http://schemas.openxmlformats.org/officeDocument/2006/relationships/hyperlink" Target="http://www.nevo.co.il/case/5823680" TargetMode="External"/><Relationship Id="rId32" Type="http://schemas.openxmlformats.org/officeDocument/2006/relationships/hyperlink" Target="http://www.nevo.co.il/case/28752891" TargetMode="External"/><Relationship Id="rId33" Type="http://schemas.openxmlformats.org/officeDocument/2006/relationships/hyperlink" Target="http://www.nevo.co.il/case/29042932" TargetMode="External"/><Relationship Id="rId34" Type="http://schemas.openxmlformats.org/officeDocument/2006/relationships/hyperlink" Target="http://www.nevo.co.il/case/28963593" TargetMode="External"/><Relationship Id="rId35" Type="http://schemas.openxmlformats.org/officeDocument/2006/relationships/hyperlink" Target="http://www.nevo.co.il/case/28883087" TargetMode="External"/><Relationship Id="rId36" Type="http://schemas.openxmlformats.org/officeDocument/2006/relationships/hyperlink" Target="http://www.nevo.co.il/case/28660017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31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/340a.a" TargetMode="External"/><Relationship Id="rId41" Type="http://schemas.openxmlformats.org/officeDocument/2006/relationships/hyperlink" Target="http://www.nevo.co.il/law/70301/31" TargetMode="External"/><Relationship Id="rId42" Type="http://schemas.openxmlformats.org/officeDocument/2006/relationships/hyperlink" Target="http://www.nevo.co.il/case/28152125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/340a.b.1" TargetMode="External"/><Relationship Id="rId45" Type="http://schemas.openxmlformats.org/officeDocument/2006/relationships/hyperlink" Target="http://www.nevo.co.il/law/70301/244" TargetMode="External"/><Relationship Id="rId46" Type="http://schemas.openxmlformats.org/officeDocument/2006/relationships/hyperlink" Target="http://www.nevo.co.il/case/27894608" TargetMode="External"/><Relationship Id="rId47" Type="http://schemas.openxmlformats.org/officeDocument/2006/relationships/hyperlink" Target="http://www.nevo.co.il/case/27915710" TargetMode="External"/><Relationship Id="rId48" Type="http://schemas.openxmlformats.org/officeDocument/2006/relationships/hyperlink" Target="http://www.nevo.co.il/case/27716369" TargetMode="External"/><Relationship Id="rId49" Type="http://schemas.openxmlformats.org/officeDocument/2006/relationships/hyperlink" Target="http://www.nevo.co.il/case/21474168" TargetMode="External"/><Relationship Id="rId50" Type="http://schemas.openxmlformats.org/officeDocument/2006/relationships/hyperlink" Target="http://www.nevo.co.il/case/28259966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case/29816368" TargetMode="External"/><Relationship Id="rId54" Type="http://schemas.openxmlformats.org/officeDocument/2006/relationships/hyperlink" Target="http://www.nevo.co.il/case/27462558" TargetMode="External"/><Relationship Id="rId55" Type="http://schemas.openxmlformats.org/officeDocument/2006/relationships/hyperlink" Target="http://www.nevo.co.il/case/26939409" TargetMode="External"/><Relationship Id="rId56" Type="http://schemas.openxmlformats.org/officeDocument/2006/relationships/hyperlink" Target="http://www.nevo.co.il/case/26654636" TargetMode="External"/><Relationship Id="rId57" Type="http://schemas.openxmlformats.org/officeDocument/2006/relationships/hyperlink" Target="http://www.nevo.co.il/case/29068130" TargetMode="External"/><Relationship Id="rId58" Type="http://schemas.openxmlformats.org/officeDocument/2006/relationships/hyperlink" Target="http://www.nevo.co.il/case/28563394" TargetMode="External"/><Relationship Id="rId59" Type="http://schemas.openxmlformats.org/officeDocument/2006/relationships/hyperlink" Target="http://www.nevo.co.il/case/28533264" TargetMode="External"/><Relationship Id="rId60" Type="http://schemas.openxmlformats.org/officeDocument/2006/relationships/hyperlink" Target="http://www.nevo.co.il/case/28533308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eca.gov.il/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2024-04-07T08:37:00Z</dcterms:created>
  <dc:creator> </dc:creator>
  <dc:description/>
  <cp:keywords/>
  <dc:language>en-IL</dc:language>
  <cp:lastModifiedBy>h1</cp:lastModifiedBy>
  <dcterms:modified xsi:type="dcterms:W3CDTF">2024-04-07T08:37:00Z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אמל אגבריה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13093721;20033641;17954235;28513828;25612982;28296934;377887;5823680;28752891;29042932;28963593;28883087;28660017;28152125;27894608;27915710;27716369;21474168;28259966;29816368;27462558;26939409;26654636;29068130;28563394;28533264;28533308</vt:lpwstr>
  </property>
  <property fmtid="{D5CDD505-2E9C-101B-9397-08002B2CF9AE}" pid="9" name="CITY">
    <vt:lpwstr>חי'</vt:lpwstr>
  </property>
  <property fmtid="{D5CDD505-2E9C-101B-9397-08002B2CF9AE}" pid="10" name="DATE">
    <vt:lpwstr>20230510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70301/144.a:2;029:2;340a.a:2;152;275a;40jc;40jc.b;144.b:4;031:2;340a.b.1;244;40ja</vt:lpwstr>
  </property>
  <property fmtid="{D5CDD505-2E9C-101B-9397-08002B2CF9AE}" pid="15" name="LAWYER">
    <vt:lpwstr>מוחמד סביחאת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41754</vt:lpwstr>
  </property>
  <property fmtid="{D5CDD505-2E9C-101B-9397-08002B2CF9AE}" pid="22" name="NEWPARTB">
    <vt:lpwstr>05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390020230510</vt:lpwstr>
  </property>
  <property fmtid="{D5CDD505-2E9C-101B-9397-08002B2CF9AE}" pid="34" name="TYPE_N_DATE">
    <vt:lpwstr>39020230510</vt:lpwstr>
  </property>
  <property fmtid="{D5CDD505-2E9C-101B-9397-08002B2CF9AE}" pid="35" name="VOLUME">
    <vt:lpwstr/>
  </property>
  <property fmtid="{D5CDD505-2E9C-101B-9397-08002B2CF9AE}" pid="36" name="WORDNUMPAGES">
    <vt:lpwstr>19</vt:lpwstr>
  </property>
</Properties>
</file>