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31"/>
        <w:gridCol w:w="3730"/>
      </w:tblGrid>
      <w:tr>
        <w:trPr>
          <w:trHeight w:val="418" w:hRule="exact"/>
        </w:trPr>
        <w:tc>
          <w:tcPr>
            <w:tcW w:w="886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13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41762-12-20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גרדלי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"/>
                <w:szCs w:val="2"/>
              </w:rPr>
            </w:pPr>
            <w:r>
              <w:rPr>
                <w:rFonts w:cs="FrankRuehl"/>
                <w:sz w:val="2"/>
                <w:szCs w:val="2"/>
                <w:rtl w:val="true"/>
              </w:rPr>
            </w:r>
          </w:p>
        </w:tc>
        <w:tc>
          <w:tcPr>
            <w:tcW w:w="373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sz w:val="10"/>
          <w:szCs w:val="10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סגנית הנשיא  דיאנה סלע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אנס גרדלי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bidi w:val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</w:r>
    </w:p>
    <w:p>
      <w:pPr>
        <w:pStyle w:val="NoSpacing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bookmarkStart w:id="7" w:name="ABSTRACT_START"/>
      <w:bookmarkEnd w:id="7"/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יליד </w:t>
      </w:r>
      <w:r>
        <w:rPr>
          <w:rFonts w:cs="David" w:ascii="David" w:hAnsi="David"/>
          <w:sz w:val="24"/>
          <w:szCs w:val="24"/>
        </w:rPr>
        <w:t>01</w:t>
      </w:r>
      <w:r>
        <w:rPr>
          <w:rFonts w:cs="David" w:ascii="David" w:hAnsi="David"/>
          <w:sz w:val="24"/>
          <w:szCs w:val="24"/>
          <w:rtl w:val="true"/>
        </w:rPr>
        <w:t xml:space="preserve">', </w:t>
      </w:r>
      <w:r>
        <w:rPr>
          <w:rFonts w:ascii="David" w:hAnsi="David" w:cs="David"/>
          <w:sz w:val="24"/>
          <w:sz w:val="24"/>
          <w:szCs w:val="24"/>
          <w:rtl w:val="true"/>
        </w:rPr>
        <w:t>הורשע על יסוד הודייתו בעובדות כתב אישום אשר תוקן במסגרת הסדר טיעון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בעבירה של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החזקת נשק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- 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10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רישא ו</w:t>
      </w:r>
      <w:r>
        <w:rPr>
          <w:rFonts w:cs="David" w:ascii="David" w:hAnsi="David"/>
          <w:sz w:val="24"/>
          <w:szCs w:val="24"/>
          <w:rtl w:val="true"/>
        </w:rPr>
        <w:t>-</w:t>
      </w:r>
      <w:hyperlink r:id="rId11"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)(</w:t>
        </w:r>
        <w:r>
          <w:rPr>
            <w:rStyle w:val="Hyperlink"/>
            <w:rFonts w:cs="David" w:ascii="David" w:hAnsi="David"/>
            <w:sz w:val="24"/>
            <w:szCs w:val="24"/>
          </w:rPr>
          <w:t>3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ז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1977</w:t>
      </w:r>
      <w:bookmarkStart w:id="8" w:name="ABSTRACT_END"/>
      <w:bookmarkEnd w:id="8"/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חוק העונשין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NoSpacing"/>
        <w:spacing w:lineRule="auto" w:line="360"/>
        <w:ind w:hanging="72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Spacing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2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  <w:tab/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עובדות כתב האישום המתוקן</w:t>
      </w:r>
    </w:p>
    <w:p>
      <w:pPr>
        <w:pStyle w:val="NoSpacing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בתאריך </w:t>
      </w:r>
      <w:r>
        <w:rPr>
          <w:rFonts w:cs="David" w:ascii="David" w:hAnsi="David"/>
          <w:sz w:val="24"/>
          <w:szCs w:val="24"/>
        </w:rPr>
        <w:t>2/12/20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בשעה </w:t>
      </w:r>
      <w:r>
        <w:rPr>
          <w:rFonts w:cs="David" w:ascii="David" w:hAnsi="David"/>
          <w:sz w:val="24"/>
          <w:szCs w:val="24"/>
        </w:rPr>
        <w:t>23:40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או בסמוך לכך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החזיק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תושב כפר יאסיף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מטען חבלה פירוטכני מאולתר ברכב מסוג הונדה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ascii="David" w:hAnsi="David" w:cs="David"/>
          <w:sz w:val="24"/>
          <w:sz w:val="24"/>
          <w:szCs w:val="24"/>
          <w:rtl w:val="true"/>
        </w:rPr>
        <w:t>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cs="David" w:ascii="David" w:hAnsi="David"/>
          <w:sz w:val="24"/>
          <w:szCs w:val="24"/>
        </w:rPr>
        <w:t>75-880-67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שבבעלותו ביישוב אבו סנאן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המטען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הרכב ואבו סנאן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בהתאמה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המטען הורכב מחיבור שתי פחיות משקה עשויות מתכת באמצעות סרט הדבקה שחור לכדי מיכל שהכיל אבק שריפה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בין מרכיביו דיפניל וחומר נפץ מסוג ניטרוגליצרין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כמו כן הכיל המטען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קליעים של כדורי נשק קל מסוג </w:t>
      </w:r>
      <w:r>
        <w:rPr>
          <w:rFonts w:cs="David" w:ascii="David" w:hAnsi="David"/>
          <w:sz w:val="24"/>
          <w:szCs w:val="24"/>
        </w:rPr>
        <w:t>5.56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ותרמיל של נשק קל מסוג </w:t>
      </w:r>
      <w:r>
        <w:rPr>
          <w:rFonts w:cs="David" w:ascii="David" w:hAnsi="David"/>
          <w:sz w:val="24"/>
          <w:szCs w:val="24"/>
        </w:rPr>
        <w:t>5.56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הנשק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NoSpacing"/>
        <w:spacing w:lineRule="auto" w:line="360"/>
        <w:ind w:start="720" w:end="0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Spacing"/>
        <w:spacing w:lineRule="auto" w:line="360"/>
        <w:ind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המטען היה ללא אמצעי יזימה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אמצעי היזימה הנחוץ להפעלתו או התפוצצותו הוא פתיל הדלקה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זיקוק עוגה או נפץ חבלה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Spacing"/>
        <w:spacing w:lineRule="auto" w:line="360"/>
        <w:ind w:start="72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Spacing"/>
        <w:spacing w:lineRule="auto" w:line="360"/>
        <w:ind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בכוחו של הנשק לגרום לנזק בעת הפעלתו או התפוצצותו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שחומרתו נעה החל מגרימת צפצופים באוזניים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פציעות שטחיות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כוויות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ועד לרמה של קטיעת איבר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Spacing"/>
        <w:spacing w:lineRule="auto" w:line="360"/>
        <w:ind w:start="720" w:end="0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Spacing"/>
        <w:spacing w:lineRule="auto" w:line="360"/>
        <w:ind w:start="720" w:end="0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במהלך חיפוש שנערך ברכב על ידי המשטרה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אותר הנשק בתוך שקית בחלקו האחורי של מושב הנהג שברכב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Spacing"/>
        <w:spacing w:lineRule="auto" w:line="360"/>
        <w:ind w:start="720" w:end="0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Spacing"/>
        <w:spacing w:lineRule="auto" w:line="360"/>
        <w:ind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במעשיו המתוארים לעיל החזיק הנאשם נשק בלא רשות על פי דין להחזקתו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Spacing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Spacing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  <w:tab/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הסדר הטיעון</w:t>
      </w:r>
    </w:p>
    <w:p>
      <w:pPr>
        <w:pStyle w:val="NoSpacing"/>
        <w:spacing w:lineRule="auto" w:line="360"/>
        <w:ind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לאחר שהחלה שמיעת הראיות בתיק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וניתנה החלטתו של בית המשפט בטענה דיונית נכבדה של ההגנה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הגיעו הצדדים להסדר טיעון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שבמסגרתו תוקן כתב 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חזר בו מכפירתו והודה בעובדות כתב 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הצדדים לא הגיעו להסכמה לעניין העונש והסכימו כי הטיעון לעונש יהיה חופשי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לאחר קבלת תסקיר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המתחייב בדין נוכח גילו של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Spacing"/>
        <w:spacing w:lineRule="auto" w:line="360"/>
        <w:ind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Spacing"/>
        <w:spacing w:lineRule="auto" w:line="360"/>
        <w:ind w:hanging="720" w:start="720" w:end="0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Spacing"/>
        <w:spacing w:lineRule="auto" w:line="360"/>
        <w:ind w:start="720"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ראיות לעונש</w:t>
      </w:r>
    </w:p>
    <w:p>
      <w:pPr>
        <w:pStyle w:val="NoSpacing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לנאשם אין הרשעות קודמות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Spacing"/>
        <w:spacing w:lineRule="auto" w:line="360"/>
        <w:ind w:hanging="72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Spacing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5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  <w:tab/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תסקיר שירות המבחן</w:t>
      </w:r>
    </w:p>
    <w:p>
      <w:pPr>
        <w:pStyle w:val="NoSpacing"/>
        <w:spacing w:lineRule="auto" w:line="360"/>
        <w:ind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בהתחשב במכלול הנסיבות הרלוונטיות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המליץ שירות המבחן להטיל על הנאשם ענישה מרתיעה ומציבת גבולות בדמות מאסר שירוצה בעבודות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לצד עונש מאסר מותנה וקנס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שירות המבחן לא בא בהמלצה טיפולית בעניינו של הנאשם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Spacing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Spacing"/>
        <w:spacing w:lineRule="auto" w:line="360"/>
        <w:ind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קצין המבחן סקר את נסיבותיו האישיות של הנאשם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רווק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בן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המתגורר בכפר יאסיף עם אמו 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עם </w:t>
      </w:r>
      <w:r>
        <w:rPr>
          <w:rFonts w:ascii="David" w:hAnsi="David" w:cs="David"/>
          <w:sz w:val="24"/>
          <w:sz w:val="24"/>
          <w:szCs w:val="24"/>
          <w:rtl w:val="true"/>
        </w:rPr>
        <w:t>אחיו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הצעיר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אמו סובלת מקשיי תפקוד ואינה עובדת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ושלושת אחאיו הגדולים </w:t>
      </w:r>
      <w:r>
        <w:rPr>
          <w:rFonts w:ascii="David" w:hAnsi="David" w:cs="David"/>
          <w:sz w:val="24"/>
          <w:sz w:val="24"/>
          <w:szCs w:val="24"/>
          <w:rtl w:val="true"/>
        </w:rPr>
        <w:t>מנהלים אורח חיים תקין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סיפר כי הוריו התגרשו בהיותו כבן </w:t>
      </w:r>
      <w:r>
        <w:rPr>
          <w:rFonts w:cs="David" w:ascii="David" w:hAnsi="David"/>
          <w:sz w:val="24"/>
          <w:szCs w:val="24"/>
        </w:rPr>
        <w:t>13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אביו נפטר באוגוסט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',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בהיותו בן </w:t>
      </w:r>
      <w:r>
        <w:rPr>
          <w:rFonts w:cs="David" w:ascii="David" w:hAnsi="David"/>
          <w:sz w:val="24"/>
          <w:szCs w:val="24"/>
        </w:rPr>
        <w:t>53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בין השאר על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רקע </w:t>
      </w:r>
      <w:r>
        <w:rPr>
          <w:rFonts w:ascii="David" w:hAnsi="David" w:cs="David"/>
          <w:sz w:val="24"/>
          <w:sz w:val="24"/>
          <w:szCs w:val="24"/>
          <w:rtl w:val="true"/>
        </w:rPr>
        <w:t>התמכרות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לסמים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לדבריו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האב היה עבריין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ריצה תקופות מאסר </w:t>
      </w:r>
      <w:r>
        <w:rPr>
          <w:rFonts w:ascii="David" w:hAnsi="David" w:cs="David"/>
          <w:sz w:val="24"/>
          <w:sz w:val="24"/>
          <w:szCs w:val="24"/>
          <w:rtl w:val="true"/>
        </w:rPr>
        <w:t>שונות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והנאשם ואמו היו חשופים לאלימות מילולית מצדו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טרם מעצרו עבד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</w:t>
      </w:r>
      <w:r>
        <w:rPr>
          <w:rFonts w:ascii="David" w:hAnsi="David" w:cs="David"/>
          <w:sz w:val="24"/>
          <w:sz w:val="24"/>
          <w:szCs w:val="24"/>
          <w:rtl w:val="true"/>
        </w:rPr>
        <w:t>בתחום הריצוף במהלך שעות היום וכמוכר במכולת בשעות הלילה</w:t>
      </w:r>
      <w:r>
        <w:rPr>
          <w:rFonts w:cs="David" w:ascii="David" w:hAnsi="David"/>
          <w:sz w:val="24"/>
          <w:szCs w:val="24"/>
          <w:rtl w:val="true"/>
        </w:rPr>
        <w:t>;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השלים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לימוד בבית ספר מקצועי במגמת מכונאות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לדבריו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במהלך לימודיו ואחריהם עבד על רקע קשיים כלכליים במשפח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ושלל קשיים תפקודיים או חברתיים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עברו הפלילי נקי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Spacing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Spacing"/>
        <w:spacing w:lineRule="auto" w:line="360"/>
        <w:ind w:start="720" w:end="0"/>
        <w:jc w:val="both"/>
        <w:rPr>
          <w:rFonts w:ascii="David" w:hAnsi="David" w:cs="David"/>
          <w:b/>
          <w:bCs/>
          <w:sz w:val="14"/>
          <w:szCs w:val="14"/>
        </w:rPr>
      </w:pPr>
      <w:r>
        <w:rPr>
          <w:rFonts w:cs="David" w:ascii="David" w:hAnsi="David"/>
          <w:b/>
          <w:bCs/>
          <w:sz w:val="14"/>
          <w:szCs w:val="14"/>
          <w:rtl w:val="true"/>
        </w:rPr>
      </w:r>
    </w:p>
    <w:p>
      <w:pPr>
        <w:pStyle w:val="NoSpacing"/>
        <w:spacing w:lineRule="auto" w:line="360"/>
        <w:ind w:start="72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הנאשם הודה באמור בכתב האישום המתוקן אך שלל כוונה פלילית במעשיו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באומרו כי </w:t>
      </w:r>
      <w:r>
        <w:rPr>
          <w:rFonts w:ascii="David" w:hAnsi="David" w:cs="David"/>
          <w:sz w:val="24"/>
          <w:sz w:val="24"/>
          <w:szCs w:val="24"/>
          <w:rtl w:val="true"/>
        </w:rPr>
        <w:t>המטען ניתן לו על ידי אביו לפני חג הקורבן בטענה שמדובר בזיקוקים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נשאר ברכב ונשכח 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התקשה להסביר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את נסיבות העניין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סיפר כי הוא מתבייש ומתחרט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על כך שלקח את המטען מאביו מבלי להפעיל שיקול דעת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Spacing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Spacing"/>
        <w:spacing w:lineRule="auto" w:line="360"/>
        <w:ind w:start="72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הועמד בצו פיקוח מעצרים במסגרת שירות המבחן החל מיום </w:t>
      </w:r>
      <w:r>
        <w:rPr>
          <w:rFonts w:cs="David" w:ascii="David" w:hAnsi="David"/>
          <w:sz w:val="24"/>
          <w:szCs w:val="24"/>
        </w:rPr>
        <w:t>12/5/21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ועד יום </w:t>
      </w:r>
      <w:r>
        <w:rPr>
          <w:rFonts w:cs="David" w:ascii="David" w:hAnsi="David"/>
          <w:sz w:val="24"/>
          <w:szCs w:val="24"/>
        </w:rPr>
        <w:t>12/11/21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שולב בקבוצה טיפולית לעצורי בית החל מתאריך </w:t>
      </w:r>
      <w:r>
        <w:rPr>
          <w:rFonts w:cs="David" w:ascii="David" w:hAnsi="David"/>
          <w:sz w:val="24"/>
          <w:szCs w:val="24"/>
        </w:rPr>
        <w:t>22/7/21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נאשם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נהג להגיע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למפגשי הקבוצה אך 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>גיב רק כש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פנו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אליו </w:t>
      </w:r>
      <w:r>
        <w:rPr>
          <w:rFonts w:ascii="David" w:hAnsi="David" w:cs="David"/>
          <w:sz w:val="24"/>
          <w:sz w:val="24"/>
          <w:szCs w:val="24"/>
          <w:rtl w:val="true"/>
        </w:rPr>
        <w:t>ישירות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שירות המבחן התרשמה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ascii="David" w:hAnsi="David" w:cs="David"/>
          <w:sz w:val="24"/>
          <w:sz w:val="24"/>
          <w:szCs w:val="24"/>
          <w:rtl w:val="true"/>
        </w:rPr>
        <w:t>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משליך את האחריות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ascii="David" w:hAnsi="David" w:cs="David"/>
          <w:sz w:val="24"/>
          <w:sz w:val="24"/>
          <w:szCs w:val="24"/>
          <w:rtl w:val="true"/>
        </w:rPr>
        <w:t>ביצוע העבירה על אביו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יכולת מצומצמת להיתרם מהטיפול הייעודי במסגרת שירות המבחן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Spacing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Spacing"/>
        <w:spacing w:lineRule="auto" w:line="360"/>
        <w:ind w:start="720" w:end="0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בבואו להעריך את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גורמי הסיכוי לשיקום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ולהימנעות מביצוע עבירות דומות בעתיד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התרשם שירות המבחן מאדם צעיר ללא הרשעות קודמות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שאינו מציג דפוסי התנהגות או חשיבה עברייניים מושרשים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גילה יכולת הסתגלות במסגרת בית ספרית ותעסוקתית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מגלה מחויבות לתפקידיו במשפחה ובעל כישורים להשלים את המוטל עליו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אף הקשיים והשינויים שחווה במסגרת משפחתו לאורך השנים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בני משפחתו מהווים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עבורו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מערכת תמיכה משמעותית ויש ביכולתם לסייע </w:t>
      </w:r>
      <w:r>
        <w:rPr>
          <w:rFonts w:ascii="David" w:hAnsi="David" w:cs="David"/>
          <w:sz w:val="24"/>
          <w:sz w:val="24"/>
          <w:szCs w:val="24"/>
          <w:rtl w:val="true"/>
        </w:rPr>
        <w:t>לו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שירות המבחן ציין כי הנאשם בעל יכולות תקשורת תקינות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המסוגל להביע את עצמו באופן ברור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הוא מתנהל באופן עצמאי ומובחן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מבטא מודעות לצרכיו האישיים ולשאיפותיו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מגלה מודעות לנזקקות של בני משפחתו ודואג לסייע להם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Spacing"/>
        <w:spacing w:lineRule="auto" w:line="360"/>
        <w:ind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Spacing"/>
        <w:spacing w:lineRule="auto" w:line="360"/>
        <w:ind w:start="72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במסגרת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גורמי סיכון </w:t>
      </w:r>
      <w:r>
        <w:rPr>
          <w:rFonts w:ascii="David" w:hAnsi="David" w:cs="David"/>
          <w:sz w:val="24"/>
          <w:sz w:val="24"/>
          <w:szCs w:val="24"/>
          <w:rtl w:val="true"/>
        </w:rPr>
        <w:t>להישנות עבירות דומות בעתיד מצדו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נכתב כי </w:t>
      </w:r>
      <w:r>
        <w:rPr>
          <w:rFonts w:ascii="David" w:hAnsi="David" w:cs="David"/>
          <w:sz w:val="24"/>
          <w:sz w:val="24"/>
          <w:szCs w:val="24"/>
          <w:rtl w:val="true"/>
        </w:rPr>
        <w:t>הנאשם מתקשה לקבל אחריות אקטיבית על העבירות ואינו מבטא מוטיבציה אמתית לשיקום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עוד צוין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רב הנסתר על הגלוי בכל </w:t>
      </w:r>
    </w:p>
    <w:p>
      <w:pPr>
        <w:pStyle w:val="NoSpacing"/>
        <w:spacing w:lineRule="auto" w:line="360"/>
        <w:ind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Spacing"/>
        <w:spacing w:lineRule="auto" w:line="360"/>
        <w:ind w:start="72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הקשור לנסיבות הימצאות המטען ברכבו של הנאשם ולמידת קשריו עם גורמים עברייניים בסביבתו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משכך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התרשם שירות המבחן כי לא ניתן לשלול את הסיכון לביצוע עבירות דומות בעתיד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Spacing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Spacing"/>
        <w:spacing w:lineRule="auto" w:line="360"/>
        <w:ind w:start="72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נוכח 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עמדה 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>ק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רבנית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שהציג הנאשם והקושי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לקבל אחריות על </w:t>
      </w:r>
      <w:r>
        <w:rPr>
          <w:rFonts w:ascii="David" w:hAnsi="David" w:cs="David"/>
          <w:sz w:val="24"/>
          <w:sz w:val="24"/>
          <w:szCs w:val="24"/>
          <w:rtl w:val="true"/>
        </w:rPr>
        <w:t>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התרשם שירות המבחן כי הוא בעל יכולת מצומצמת להפיק תועלת מטיפול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ונמנע מ</w:t>
      </w:r>
      <w:r>
        <w:rPr>
          <w:rFonts w:ascii="David" w:hAnsi="David" w:cs="David"/>
          <w:sz w:val="24"/>
          <w:sz w:val="24"/>
          <w:szCs w:val="24"/>
          <w:rtl w:val="true"/>
        </w:rPr>
        <w:t>המלצה טיפולית בעניינו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Spacing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Spacing"/>
        <w:spacing w:lineRule="auto" w:line="360"/>
        <w:ind w:start="720" w:end="0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לעניין העונש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בהתחשב בגילו הצעיר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בעברו הנקי וב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תפקודו החיובי </w:t>
      </w:r>
      <w:r>
        <w:rPr>
          <w:rFonts w:ascii="David" w:hAnsi="David" w:cs="David"/>
          <w:sz w:val="24"/>
          <w:sz w:val="24"/>
          <w:szCs w:val="24"/>
          <w:rtl w:val="true"/>
        </w:rPr>
        <w:t>של הנאשם עובר לביצוע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העריך שירות המבחן כי ההליך הפלילי מהווה גורם הרתעה משמעותי עבור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והמליץ להטיל עליו ענישה מרתיעה באמצעות מאסר שירוצה בעבודות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לצד עונש מאסר מותנה וקנס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Spacing"/>
        <w:spacing w:lineRule="auto" w:line="360"/>
        <w:ind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Spacing"/>
        <w:spacing w:lineRule="auto" w:line="360"/>
        <w:ind w:end="0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</w:rPr>
        <w:t>6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  <w:tab/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טיעוני המאשימה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המאשימה עתרה להטיל על הנאשם מאסר בפועל ברף התחתון של מתחם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העומד לשיטתה על טווח שבין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מאסר מותנה מרתיע וקנס כספי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ציין כי הנאשם היה עצור בגין תיק זה בין התאריכים </w:t>
      </w:r>
      <w:r>
        <w:rPr>
          <w:rFonts w:cs="David" w:ascii="David" w:hAnsi="David"/>
        </w:rPr>
        <w:t>3/12/20</w:t>
      </w:r>
      <w:r>
        <w:rPr>
          <w:rFonts w:cs="David" w:ascii="David" w:hAnsi="David"/>
          <w:rtl w:val="true"/>
        </w:rPr>
        <w:t xml:space="preserve"> – </w:t>
      </w:r>
      <w:r>
        <w:rPr>
          <w:rFonts w:cs="David" w:ascii="David" w:hAnsi="David"/>
        </w:rPr>
        <w:t>25/1/21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אז</w:t>
      </w:r>
      <w:r>
        <w:rPr>
          <w:rFonts w:ascii="David" w:hAnsi="David"/>
          <w:rtl w:val="true"/>
        </w:rPr>
        <w:t xml:space="preserve"> היה עצור בפיקוח אלקטרוני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start="720" w:end="0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tabs>
          <w:tab w:val="clear" w:pos="720"/>
          <w:tab w:val="left" w:pos="206" w:leader="none"/>
        </w:tabs>
        <w:spacing w:lineRule="auto" w:line="360" w:before="120" w:after="12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אשר </w:t>
      </w:r>
      <w:r>
        <w:rPr>
          <w:rFonts w:ascii="David" w:hAnsi="David"/>
          <w:b/>
          <w:b/>
          <w:bCs/>
          <w:rtl w:val="true"/>
        </w:rPr>
        <w:t>לנסיבות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כי מדובר בעבירה חמורה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הנאשם החזיק במטען חבלה מאולתר בתוך יישוב ובכך סיכן את תושבי האזור</w:t>
      </w:r>
      <w:r>
        <w:rPr>
          <w:rFonts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לעניין זה הדגיש את עמדת הפסיקה </w:t>
      </w:r>
      <w:r>
        <w:rPr>
          <w:rFonts w:ascii="David" w:hAnsi="David"/>
          <w:rtl w:val="true"/>
        </w:rPr>
        <w:t>להשלכות הרות האסון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הסיכון הגלום בהן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ואת החשיבות בהטלת עונשים מרתיעים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העדפה של האינטרס הציבורי על פני נסיבותיו האישיות של הנאשם</w:t>
      </w:r>
      <w:r>
        <w:rPr>
          <w:rFonts w:cs="David" w:ascii="David" w:hAnsi="David"/>
          <w:rtl w:val="true"/>
        </w:rPr>
        <w:t>. (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5717/14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גדבאן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2/12/14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ובראן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 xml:space="preserve">וכן </w:t>
      </w:r>
      <w:hyperlink r:id="rId1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4945/13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סלימאן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19/1/14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מפי כב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הש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ארבל</w:t>
      </w:r>
      <w:r>
        <w:rPr>
          <w:rFonts w:eastAsia="Calibri" w:cs="David" w:ascii="David" w:hAnsi="David"/>
          <w:rtl w:val="true"/>
        </w:rPr>
        <w:t xml:space="preserve">). </w:t>
      </w:r>
    </w:p>
    <w:p>
      <w:pPr>
        <w:pStyle w:val="Normal"/>
        <w:tabs>
          <w:tab w:val="clear" w:pos="720"/>
          <w:tab w:val="left" w:pos="206" w:leader="none"/>
        </w:tabs>
        <w:spacing w:lineRule="auto" w:line="360" w:before="120" w:after="120"/>
        <w:ind w:start="720" w:end="0"/>
        <w:jc w:val="both"/>
        <w:rPr/>
      </w:pPr>
      <w:r>
        <w:rPr>
          <w:rFonts w:ascii="David" w:hAnsi="David" w:eastAsia="Calibri"/>
          <w:rtl w:val="true"/>
        </w:rPr>
        <w:t>כן הפנה לעמדת הפסיקה ביחס למסוכנותם הרבה של חומרי נפץ ומטעני חבלה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שעניינה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בסכנת נפשות פשוטו כמשמעו</w:t>
      </w:r>
      <w:r>
        <w:rPr>
          <w:rFonts w:eastAsia="Calibri" w:cs="David" w:ascii="David" w:hAnsi="David"/>
          <w:rtl w:val="true"/>
        </w:rPr>
        <w:t xml:space="preserve">", </w:t>
      </w:r>
      <w:r>
        <w:rPr>
          <w:rFonts w:ascii="David" w:hAnsi="David" w:eastAsia="Calibri"/>
          <w:rtl w:val="true"/>
        </w:rPr>
        <w:t>והדגיש כי דווקא הקלות הבלתי נסבלת</w:t>
      </w:r>
      <w:r>
        <w:rPr>
          <w:rFonts w:ascii="David" w:hAnsi="David" w:eastAsia="Calibri"/>
          <w:rtl w:val="true"/>
        </w:rPr>
        <w:t xml:space="preserve"> ש</w:t>
      </w:r>
      <w:r>
        <w:rPr>
          <w:rFonts w:ascii="David" w:hAnsi="David" w:eastAsia="Calibri"/>
          <w:rtl w:val="true"/>
        </w:rPr>
        <w:t>בה ניתן לייצר מטענים שיש בכוחם להמית אדם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 לגרום לנזקים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מלמדת על החומרה ועל הצורך בענישה הולמת </w:t>
      </w:r>
      <w:r>
        <w:rPr>
          <w:rFonts w:eastAsia="Calibri" w:cs="David" w:ascii="David" w:hAnsi="David"/>
          <w:rtl w:val="true"/>
        </w:rPr>
        <w:t>(</w:t>
      </w:r>
      <w:hyperlink r:id="rId1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5336/13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צדוק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מדינת ישראל 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17/11/13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מפי כב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הש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סולברג</w:t>
      </w:r>
      <w:r>
        <w:rPr>
          <w:rFonts w:eastAsia="Calibri" w:cs="David" w:ascii="David" w:hAnsi="David"/>
          <w:rtl w:val="true"/>
        </w:rPr>
        <w:t xml:space="preserve">; </w:t>
      </w:r>
      <w:hyperlink r:id="rId1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חי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54104-07-12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מסארווה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20/3/13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מפי כב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הש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הורוביץ</w:t>
      </w:r>
      <w:r>
        <w:rPr>
          <w:rFonts w:eastAsia="Calibri" w:cs="David" w:ascii="David" w:hAnsi="David"/>
          <w:rtl w:val="true"/>
        </w:rPr>
        <w:t xml:space="preserve">). </w:t>
      </w:r>
    </w:p>
    <w:p>
      <w:pPr>
        <w:pStyle w:val="Normal"/>
        <w:widowControl w:val="false"/>
        <w:tabs>
          <w:tab w:val="clear" w:pos="720"/>
          <w:tab w:val="left" w:pos="206" w:leader="none"/>
        </w:tabs>
        <w:spacing w:lineRule="auto" w:line="360"/>
        <w:ind w:start="720" w:end="0"/>
        <w:jc w:val="both"/>
        <w:rPr>
          <w:rFonts w:ascii="Calibri" w:hAnsi="Calibri" w:eastAsia="Calibri" w:cs="Calibri"/>
          <w:u w:val="single"/>
        </w:rPr>
      </w:pPr>
      <w:r>
        <w:rPr>
          <w:rFonts w:ascii="Calibri" w:hAnsi="Calibri" w:eastAsia="Calibri" w:cs="Calibri"/>
          <w:rtl w:val="true"/>
        </w:rPr>
        <w:t>לטענת</w:t>
      </w:r>
      <w:r>
        <w:rPr>
          <w:rFonts w:ascii="Calibri" w:hAnsi="Calibri" w:eastAsia="Calibri" w:cs="Calibri"/>
          <w:rtl w:val="true"/>
        </w:rPr>
        <w:t>ו של ב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כ המאשימה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מטען מאולתר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ascii="Calibri" w:hAnsi="Calibri" w:eastAsia="Calibri" w:cs="Calibri"/>
          <w:rtl w:val="true"/>
        </w:rPr>
        <w:t>דוגמת זה שנשא הנאשם במקרה הנדון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ascii="Calibri" w:hAnsi="Calibri" w:eastAsia="Calibri" w:cs="Calibri"/>
          <w:rtl w:val="true"/>
        </w:rPr>
        <w:t>מסוכן יותר מאשר מטען תקני להחזקה ולנשיאה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מבחינת יציבותו ובטיחותו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לעניין זה הפנה ל</w:t>
      </w:r>
      <w:hyperlink r:id="rId17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8717/06</w:t>
        </w:r>
      </w:hyperlink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טולידו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מדינת ישראל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18/8/08</w:t>
      </w:r>
      <w:r>
        <w:rPr>
          <w:rFonts w:eastAsia="Calibri" w:cs="Calibri" w:ascii="Calibri" w:hAnsi="Calibri"/>
          <w:rtl w:val="true"/>
        </w:rPr>
        <w:t xml:space="preserve">), </w:t>
      </w:r>
      <w:r>
        <w:rPr>
          <w:rFonts w:ascii="Calibri" w:hAnsi="Calibri" w:eastAsia="Calibri" w:cs="Calibri"/>
          <w:rtl w:val="true"/>
        </w:rPr>
        <w:t>מפי כב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ascii="Calibri" w:hAnsi="Calibri" w:eastAsia="Calibri" w:cs="Calibri"/>
          <w:rtl w:val="true"/>
        </w:rPr>
        <w:t>הש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ascii="Calibri" w:hAnsi="Calibri" w:eastAsia="Calibri" w:cs="Calibri"/>
          <w:rtl w:val="true"/>
        </w:rPr>
        <w:t>רובינשטיין</w:t>
      </w:r>
      <w:r>
        <w:rPr>
          <w:rFonts w:eastAsia="Calibri" w:cs="Calibri" w:ascii="Calibri" w:hAnsi="Calibri"/>
          <w:rtl w:val="true"/>
        </w:rPr>
        <w:t>).</w:t>
      </w:r>
    </w:p>
    <w:p>
      <w:pPr>
        <w:pStyle w:val="Normal"/>
        <w:tabs>
          <w:tab w:val="clear" w:pos="720"/>
          <w:tab w:val="left" w:pos="206" w:leader="none"/>
        </w:tabs>
        <w:spacing w:lineRule="auto" w:line="360" w:before="120" w:after="120"/>
        <w:ind w:start="720" w:end="0"/>
        <w:jc w:val="both"/>
        <w:rPr>
          <w:rFonts w:ascii="David" w:hAnsi="David" w:eastAsia="Calibri" w:cs="David"/>
          <w:b/>
          <w:bCs/>
          <w:sz w:val="8"/>
          <w:szCs w:val="8"/>
          <w:u w:val="single"/>
        </w:rPr>
      </w:pPr>
      <w:r>
        <w:rPr>
          <w:rFonts w:eastAsia="Calibri" w:cs="David" w:ascii="David" w:hAnsi="David"/>
          <w:b/>
          <w:bCs/>
          <w:sz w:val="8"/>
          <w:szCs w:val="8"/>
          <w:u w:val="single"/>
          <w:rtl w:val="true"/>
        </w:rPr>
      </w:r>
    </w:p>
    <w:p>
      <w:pPr>
        <w:pStyle w:val="Normal"/>
        <w:tabs>
          <w:tab w:val="clear" w:pos="720"/>
          <w:tab w:val="left" w:pos="206" w:leader="none"/>
        </w:tabs>
        <w:spacing w:lineRule="auto" w:line="360" w:before="120" w:after="120"/>
        <w:ind w:start="720" w:end="0"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>ב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פירט את עקרונות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וביקש להעמיד את </w:t>
      </w:r>
      <w:r>
        <w:rPr>
          <w:rFonts w:ascii="David" w:hAnsi="David"/>
          <w:rtl w:val="true"/>
        </w:rPr>
        <w:t xml:space="preserve">מתחם הענישה ההולם בנסיבות המפורטות </w:t>
      </w:r>
      <w:r>
        <w:rPr>
          <w:rFonts w:ascii="David" w:hAnsi="David"/>
          <w:rtl w:val="true"/>
        </w:rPr>
        <w:t>לעיל</w:t>
      </w:r>
      <w:r>
        <w:rPr>
          <w:rFonts w:ascii="David" w:hAnsi="David" w:eastAsia="Calibri"/>
          <w:rtl w:val="true"/>
        </w:rPr>
        <w:t xml:space="preserve"> על טווח שבין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-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>הוא ציין כי</w:t>
      </w:r>
      <w:r>
        <w:rPr>
          <w:rFonts w:ascii="David" w:hAnsi="David" w:eastAsia="Calibri"/>
          <w:b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הערכים החברתיים המוגנים </w:t>
      </w:r>
      <w:r>
        <w:rPr>
          <w:rFonts w:ascii="David" w:hAnsi="David" w:eastAsia="Calibri"/>
          <w:rtl w:val="true"/>
        </w:rPr>
        <w:t>שנפגעו ממעשי הנאשם הם הבטחת שלום הציבור והגנה על חיי אדם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זמינותו של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העלול להגיע גם לידיים עברייניות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תורמת להגדלת מעגל האלימות ולתוצאות הקשות הנובעות מכך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ויש לעקור מהשורש את התופע</w:t>
      </w:r>
      <w:r>
        <w:rPr>
          <w:rFonts w:ascii="David" w:hAnsi="David" w:eastAsia="Calibri"/>
          <w:rtl w:val="true"/>
        </w:rPr>
        <w:t>ה</w:t>
      </w:r>
      <w:r>
        <w:rPr>
          <w:rFonts w:ascii="David" w:hAnsi="David" w:eastAsia="Calibri"/>
          <w:rtl w:val="true"/>
        </w:rPr>
        <w:t xml:space="preserve"> של הימצאות נשק ברחובות בכלל ומטעני חבלה בפרט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206" w:leader="none"/>
        </w:tabs>
        <w:spacing w:lineRule="auto" w:line="360" w:before="120" w:after="120"/>
        <w:ind w:start="72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206" w:leader="none"/>
        </w:tabs>
        <w:spacing w:lineRule="auto" w:line="360" w:before="120" w:after="120"/>
        <w:ind w:start="720" w:end="0"/>
        <w:jc w:val="both"/>
        <w:rPr>
          <w:rFonts w:ascii="David" w:hAnsi="David" w:eastAsia="Calibri" w:cs="David"/>
          <w:sz w:val="6"/>
          <w:szCs w:val="6"/>
        </w:rPr>
      </w:pPr>
      <w:r>
        <w:rPr>
          <w:rFonts w:eastAsia="Calibri" w:cs="David" w:ascii="David" w:hAnsi="David"/>
          <w:sz w:val="6"/>
          <w:szCs w:val="6"/>
          <w:rtl w:val="true"/>
        </w:rPr>
      </w:r>
    </w:p>
    <w:p>
      <w:pPr>
        <w:pStyle w:val="Normal"/>
        <w:tabs>
          <w:tab w:val="clear" w:pos="720"/>
          <w:tab w:val="left" w:pos="206" w:leader="none"/>
        </w:tabs>
        <w:spacing w:lineRule="auto" w:line="360" w:before="120" w:after="120"/>
        <w:ind w:start="720" w:end="0"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>ג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ביקש להחמיר בעונשו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בהפנותו לקריטריונים הקבועים </w:t>
      </w:r>
      <w:hyperlink r:id="rId18">
        <w:r>
          <w:rPr>
            <w:rStyle w:val="Hyperlink"/>
            <w:rFonts w:ascii="David" w:hAnsi="David" w:eastAsia="Calibri"/>
            <w:rtl w:val="true"/>
          </w:rPr>
          <w:t xml:space="preserve">בסעיף </w:t>
        </w:r>
        <w:r>
          <w:rPr>
            <w:rStyle w:val="Hyperlink"/>
            <w:rFonts w:eastAsia="Calibri" w:cs="David" w:ascii="David" w:hAnsi="David"/>
          </w:rPr>
          <w:t>40</w:t>
        </w:r>
        <w:r>
          <w:rPr>
            <w:rStyle w:val="Hyperlink"/>
            <w:rFonts w:ascii="David" w:hAnsi="David" w:eastAsia="Calibri"/>
            <w:rtl w:val="true"/>
          </w:rPr>
          <w:t>ט</w:t>
        </w:r>
      </w:hyperlink>
      <w:r>
        <w:rPr>
          <w:rFonts w:ascii="David" w:hAnsi="David" w:eastAsia="Calibri"/>
          <w:rtl w:val="true"/>
        </w:rPr>
        <w:t xml:space="preserve"> ל</w:t>
      </w:r>
      <w:hyperlink r:id="rId1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לטענתו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חלקו של הנאשם באירוע הוא מוחלט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הוא ביצע את העבירה לבדו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הנזק הצפוי מביצוע העבירה הוא רב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הנאשם יכול היה להבין את אשר הוא עושה ואת הפסול במעשיו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ויכול היה להימנע מביצועו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לנאשם לא הייתה סיבה לבצע את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הייתה לו מצוקה נפשית ואין כל קרבה לסייג לאחריות פלילית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ו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1">
        <w:r>
          <w:rPr>
            <w:rStyle w:val="Hyperlink"/>
          </w:rPr>
          <w:t>40</w:t>
        </w:r>
        <w:r>
          <w:rPr>
            <w:rStyle w:val="Hyperlink"/>
            <w:rtl w:val="true"/>
          </w:rPr>
          <w:t>ז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</w:p>
    <w:p>
      <w:pPr>
        <w:pStyle w:val="Normal"/>
        <w:keepLines/>
        <w:spacing w:lineRule="auto" w:line="360"/>
        <w:ind w:start="72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P00"/>
        <w:spacing w:lineRule="auto" w:line="360" w:before="0" w:after="0"/>
        <w:ind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הוא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עתר שלא לקבל את המלצת שירות המבחן להטיל על הנאשם מאסר לריצוי בעבודות שירות</w:t>
      </w:r>
      <w:r>
        <w:rPr>
          <w:rFonts w:cs="David" w:ascii="David" w:hAnsi="David"/>
          <w:sz w:val="24"/>
          <w:szCs w:val="24"/>
          <w:rtl w:val="true"/>
        </w:rPr>
        <w:t>;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נוכח העובדה שמדובר </w:t>
      </w:r>
      <w:r>
        <w:rPr>
          <w:rFonts w:ascii="David" w:hAnsi="David" w:cs="David"/>
          <w:sz w:val="24"/>
          <w:sz w:val="24"/>
          <w:szCs w:val="24"/>
          <w:rtl w:val="true"/>
        </w:rPr>
        <w:t>במטען היכול לגרום לקטיעת איבר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וטענת המאשימה כי </w:t>
      </w:r>
      <w:r>
        <w:rPr>
          <w:rFonts w:ascii="David" w:hAnsi="David" w:cs="David"/>
          <w:sz w:val="24"/>
          <w:sz w:val="24"/>
          <w:szCs w:val="24"/>
          <w:rtl w:val="true"/>
        </w:rPr>
        <w:t>התסקיר שניתן אינו חיובי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המאשימה ציין כי </w:t>
      </w:r>
      <w:r>
        <w:rPr>
          <w:rFonts w:ascii="David" w:hAnsi="David" w:cs="David"/>
          <w:sz w:val="24"/>
          <w:sz w:val="24"/>
          <w:szCs w:val="24"/>
          <w:rtl w:val="true"/>
        </w:rPr>
        <w:t>שרות המבחן נמנע מהמלצה טיפולית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הפנייה לתסקיר ולגורמי הסיכון שצוינו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ואין צורך לחזור על הדברים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  <w:r>
        <w:rPr>
          <w:rFonts w:ascii="David" w:hAnsi="David" w:cs="David"/>
          <w:sz w:val="24"/>
          <w:sz w:val="24"/>
          <w:szCs w:val="24"/>
          <w:rtl w:val="true"/>
        </w:rPr>
        <w:t>אף שהשורה התחתונה וההמלצה היא לעבודות שרות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אין המלצה טיפולית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לא עבר טיפול או שיקום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ולהמלצה הזאת לא צריך להיות משקל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שעה ששרות המבחן עצמו סבור שיש צורך בענישה מרתיעה ומציבת גבולות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651" w:end="0"/>
        <w:jc w:val="both"/>
        <w:rPr>
          <w:rFonts w:ascii="David" w:hAnsi="David" w:cs="David"/>
          <w:lang w:val="en-IL" w:eastAsia="en-IL"/>
        </w:rPr>
      </w:pPr>
      <w:r>
        <w:rPr>
          <w:rFonts w:ascii="David" w:hAnsi="David"/>
          <w:b/>
          <w:b/>
          <w:bCs/>
          <w:rtl w:val="true"/>
          <w:lang w:val="en-IL" w:eastAsia="en-IL"/>
        </w:rPr>
        <w:t>ה</w:t>
      </w:r>
      <w:r>
        <w:rPr>
          <w:rFonts w:cs="David" w:ascii="David" w:hAnsi="David"/>
          <w:b/>
          <w:bCs/>
          <w:rtl w:val="true"/>
          <w:lang w:val="en-IL" w:eastAsia="en-IL"/>
        </w:rPr>
        <w:t xml:space="preserve">. </w:t>
      </w:r>
      <w:r>
        <w:rPr>
          <w:rFonts w:ascii="David" w:hAnsi="David"/>
          <w:rtl w:val="true"/>
          <w:lang w:val="en-IL" w:eastAsia="en-IL"/>
        </w:rPr>
        <w:t xml:space="preserve">לפיכך עתרה המאשימה להטיל על הנאשם מאסר בפועל ברף התחתון של מתחם הענישה </w:t>
      </w:r>
      <w:r>
        <w:rPr>
          <w:rFonts w:ascii="David" w:hAnsi="David"/>
          <w:rtl w:val="true"/>
          <w:lang w:val="en-IL" w:eastAsia="en-IL"/>
        </w:rPr>
        <w:t>ה</w:t>
      </w:r>
      <w:r>
        <w:rPr>
          <w:rFonts w:ascii="David" w:hAnsi="David"/>
          <w:rtl w:val="true"/>
          <w:lang w:val="en-IL" w:eastAsia="en-IL"/>
        </w:rPr>
        <w:t>מוצע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>לצד ענישה נלווית כמפורט לעיל</w:t>
      </w:r>
      <w:r>
        <w:rPr>
          <w:rFonts w:cs="David" w:ascii="David" w:hAnsi="David"/>
          <w:rtl w:val="true"/>
          <w:lang w:val="en-IL" w:eastAsia="en-IL"/>
        </w:rPr>
        <w:t xml:space="preserve">. </w:t>
      </w:r>
    </w:p>
    <w:p>
      <w:pPr>
        <w:pStyle w:val="Normal"/>
        <w:ind w:start="720" w:end="0"/>
        <w:jc w:val="start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7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360"/>
        <w:ind w:start="651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start="651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spacing w:lineRule="auto" w:line="360"/>
        <w:ind w:start="651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מהודייתו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</w:t>
      </w:r>
      <w:r>
        <w:rPr>
          <w:rtl w:val="true"/>
        </w:rPr>
        <w:t>י</w:t>
      </w:r>
      <w:r>
        <w:rPr>
          <w:rtl w:val="true"/>
        </w:rPr>
        <w:t>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בשלילה</w:t>
      </w:r>
      <w:r>
        <w:rPr>
          <w:rtl w:val="true"/>
        </w:rPr>
        <w:t xml:space="preserve">; </w:t>
      </w:r>
      <w:r>
        <w:rPr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להשתמש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במטען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רציתי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במטען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לקחתי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מאבא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רציתי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להניח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אצלי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כוונת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tl w:val="true"/>
        </w:rPr>
        <w:t xml:space="preserve">, </w:t>
      </w:r>
      <w:r>
        <w:rPr>
          <w:rtl w:val="true"/>
        </w:rPr>
        <w:t>ומיד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651" w:end="0"/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  <w:rtl w:val="true"/>
        </w:rPr>
      </w:r>
    </w:p>
    <w:p>
      <w:pPr>
        <w:pStyle w:val="Normal"/>
        <w:spacing w:lineRule="auto" w:line="360"/>
        <w:ind w:start="651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התחשבו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651"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spacing w:lineRule="auto" w:line="360"/>
        <w:ind w:start="651" w:end="0"/>
        <w:jc w:val="both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  <w:rtl w:val="true"/>
        </w:rPr>
      </w:r>
    </w:p>
    <w:p>
      <w:pPr>
        <w:pStyle w:val="Normal"/>
        <w:spacing w:lineRule="auto" w:line="360"/>
        <w:ind w:start="651" w:end="0"/>
        <w:jc w:val="both"/>
        <w:rPr/>
      </w:pP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מינורית</w:t>
      </w:r>
      <w:r>
        <w:rPr>
          <w:rtl w:val="true"/>
        </w:rPr>
        <w:t xml:space="preserve">, </w:t>
      </w:r>
      <w:r>
        <w:rPr>
          <w:rtl w:val="true"/>
        </w:rPr>
        <w:t>משעסקינן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יזימה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ונתפס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סילמן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</w:t>
      </w:r>
      <w:r>
        <w:rPr>
          <w:rtl w:val="true"/>
        </w:rPr>
        <w:t xml:space="preserve">) - </w:t>
      </w:r>
      <w:r>
        <w:rPr>
          <w:rtl w:val="true"/>
        </w:rPr>
        <w:t>ולקביעתו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עדין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פירוטכני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651"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start="651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איכותו</w:t>
      </w:r>
      <w:r>
        <w:rPr>
          <w:rtl w:val="true"/>
        </w:rPr>
        <w:t xml:space="preserve">, </w:t>
      </w:r>
      <w:r>
        <w:rPr>
          <w:rtl w:val="true"/>
        </w:rPr>
        <w:t>הכמות</w:t>
      </w:r>
      <w:r>
        <w:rPr>
          <w:rtl w:val="true"/>
        </w:rPr>
        <w:t xml:space="preserve">, </w:t>
      </w:r>
      <w:r>
        <w:rPr>
          <w:rtl w:val="true"/>
        </w:rPr>
        <w:t>התכלית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 (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5/6/13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ארבל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651" w:end="0"/>
        <w:jc w:val="both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p>
      <w:pPr>
        <w:pStyle w:val="Normal"/>
        <w:spacing w:lineRule="auto" w:line="360"/>
        <w:ind w:start="651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שטמפפר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לפרוט</w:t>
      </w:r>
      <w:r>
        <w:rPr>
          <w:rtl w:val="true"/>
        </w:rPr>
        <w:t xml:space="preserve">'),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פחית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/>
        <w:t>X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Y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שנכנסת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49995-09-17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עלי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4/11/18</w:t>
      </w:r>
      <w:r>
        <w:rPr>
          <w:rFonts w:cs="David" w:ascii="David" w:hAnsi="David"/>
          <w:rtl w:val="true"/>
        </w:rPr>
        <w:t>),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רונית </w:t>
      </w:r>
      <w:r>
        <w:rPr>
          <w:rFonts w:ascii="David" w:hAnsi="David"/>
          <w:rtl w:val="true"/>
        </w:rPr>
        <w:t>בש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מדובר על מטען נפץ עם אמצעי יזימה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להבדיל מהמקרה הנדון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ונקבע כי מדובר במטען הקרוב יותר לרימון הלם מאשר לפצצה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ולכן למד בית המשפט באותו עניין ממתחם שנקבע במקרים של החזקה של רימון הלם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651" w:end="0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651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לנטרל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מטען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להיפצע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כיסו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לצפצופים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באוזניים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.</w:t>
      </w:r>
    </w:p>
    <w:p>
      <w:pPr>
        <w:pStyle w:val="Normal"/>
        <w:spacing w:lineRule="auto" w:line="360"/>
        <w:ind w:start="651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spacing w:lineRule="auto" w:line="360"/>
        <w:ind w:start="651" w:end="0"/>
        <w:jc w:val="both"/>
        <w:rPr>
          <w:b/>
          <w:bCs/>
        </w:rPr>
      </w:pP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מהחזקה</w:t>
      </w:r>
      <w:r>
        <w:rPr>
          <w:rtl w:val="true"/>
        </w:rPr>
        <w:t xml:space="preserve">. </w:t>
      </w:r>
      <w:r>
        <w:rPr>
          <w:rtl w:val="true"/>
        </w:rPr>
        <w:t>בעניינ</w:t>
      </w:r>
      <w:r>
        <w:rPr>
          <w:rtl w:val="true"/>
        </w:rPr>
        <w:t>נ</w:t>
      </w:r>
      <w:r>
        <w:rPr>
          <w:rtl w:val="true"/>
        </w:rPr>
        <w:t>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יזימה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651" w:end="0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rtl w:val="true"/>
        </w:rPr>
      </w:r>
    </w:p>
    <w:p>
      <w:pPr>
        <w:pStyle w:val="Normal"/>
        <w:spacing w:lineRule="auto" w:line="360"/>
        <w:ind w:start="651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לאחריות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</w:t>
      </w:r>
      <w:r>
        <w:rPr>
          <w:rtl w:val="true"/>
        </w:rPr>
        <w:t>י</w:t>
      </w:r>
      <w:r>
        <w:rPr>
          <w:rtl w:val="true"/>
        </w:rPr>
        <w:t>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, </w:t>
      </w:r>
      <w:r>
        <w:rPr>
          <w:rtl w:val="true"/>
        </w:rPr>
        <w:t>בהדגישו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והתמקדה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65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651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חסיון</w:t>
      </w:r>
      <w:r>
        <w:rPr>
          <w:rtl w:val="true"/>
        </w:rPr>
        <w:t xml:space="preserve">, </w:t>
      </w:r>
      <w:r>
        <w:rPr>
          <w:rtl w:val="true"/>
        </w:rPr>
        <w:t>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24/6/21</w:t>
      </w:r>
      <w:r>
        <w:rPr>
          <w:rtl w:val="true"/>
        </w:rPr>
        <w:t xml:space="preserve">).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מסתיים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27/5/21</w:t>
      </w:r>
      <w:r>
        <w:rPr>
          <w:rtl w:val="true"/>
        </w:rPr>
        <w:t xml:space="preserve"> </w:t>
      </w:r>
      <w:r>
        <w:rPr>
          <w:rtl w:val="true"/>
        </w:rPr>
        <w:t>לבקשה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</w:t>
      </w:r>
      <w:r>
        <w:rPr>
          <w:rtl w:val="true"/>
        </w:rPr>
        <w:t>י</w:t>
      </w:r>
      <w:r>
        <w:rPr>
          <w:rtl w:val="true"/>
        </w:rPr>
        <w:t>סיון</w:t>
      </w:r>
      <w:r>
        <w:rPr>
          <w:rtl w:val="true"/>
        </w:rPr>
        <w:t>).</w:t>
      </w:r>
    </w:p>
    <w:p>
      <w:pPr>
        <w:pStyle w:val="Normal"/>
        <w:spacing w:lineRule="auto" w:line="360"/>
        <w:ind w:start="65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65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65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651" w:end="0"/>
        <w:jc w:val="both"/>
        <w:rPr/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tl w:val="true"/>
        </w:rPr>
        <w:t xml:space="preserve">, 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הענייה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651"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spacing w:lineRule="auto" w:line="360"/>
        <w:ind w:start="651" w:end="0"/>
        <w:jc w:val="both"/>
        <w:rPr>
          <w:b/>
          <w:bCs/>
        </w:rPr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7781/12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25/6/13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start="651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651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התאריכים</w:t>
      </w:r>
      <w:r>
        <w:rPr>
          <w:rFonts w:cs="Times New Roman"/>
          <w:rtl w:val="true"/>
        </w:rPr>
        <w:t xml:space="preserve"> </w:t>
      </w:r>
      <w:r>
        <w:rPr/>
        <w:t>3/12/20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25/1/21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7768/15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20/4/16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>).</w:t>
      </w:r>
    </w:p>
    <w:p>
      <w:pPr>
        <w:pStyle w:val="Normal"/>
        <w:spacing w:lineRule="auto" w:line="360"/>
        <w:ind w:firstLine="69" w:start="651" w:end="0"/>
        <w:jc w:val="both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p>
      <w:pPr>
        <w:pStyle w:val="Normal"/>
        <w:spacing w:lineRule="auto" w:line="360"/>
        <w:ind w:start="651" w:end="0"/>
        <w:jc w:val="both"/>
        <w:rPr/>
      </w:pP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מושרשים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הסתגלות</w:t>
      </w:r>
      <w:r>
        <w:rPr>
          <w:rtl w:val="true"/>
        </w:rPr>
        <w:t xml:space="preserve">, </w:t>
      </w:r>
      <w:r>
        <w:rPr>
          <w:rtl w:val="true"/>
        </w:rPr>
        <w:t>ובמי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עצמאית</w:t>
      </w:r>
      <w:r>
        <w:rPr>
          <w:rtl w:val="true"/>
        </w:rPr>
        <w:t xml:space="preserve">;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".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)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69" w:start="651"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spacing w:lineRule="auto" w:line="360"/>
        <w:ind w:start="651" w:end="0"/>
        <w:jc w:val="both"/>
        <w:rPr/>
      </w:pP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משנדרש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</w:t>
      </w:r>
      <w:r>
        <w:rPr>
          <w:rtl w:val="true"/>
        </w:rPr>
        <w:t xml:space="preserve">, </w:t>
      </w:r>
      <w:r>
        <w:rPr>
          <w:rtl w:val="true"/>
        </w:rPr>
        <w:t>שלפיהן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מהות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המטען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מחריג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מכירים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לזרוק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שמועבר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</w:t>
      </w:r>
      <w:r>
        <w:rPr>
          <w:b/>
          <w:bCs/>
          <w:rtl w:val="true"/>
        </w:rPr>
        <w:t>-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במטען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מאולתר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שלצערי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מאביו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ברכב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651"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651" w:end="0"/>
        <w:jc w:val="both"/>
        <w:rPr/>
      </w:pPr>
      <w:r>
        <w:rPr>
          <w:rFonts w:cs="Times New Roman"/>
          <w:highlight w:val="cyan"/>
          <w:rtl w:val="true"/>
        </w:rPr>
        <w:t xml:space="preserve"> </w:t>
      </w:r>
    </w:p>
    <w:p>
      <w:pPr>
        <w:pStyle w:val="Normal"/>
        <w:spacing w:lineRule="auto" w:line="360"/>
        <w:ind w:start="651" w:end="0"/>
        <w:jc w:val="both"/>
        <w:rPr/>
      </w:pPr>
      <w:r>
        <w:rPr>
          <w:b/>
          <w:b/>
          <w:bCs/>
          <w:rtl w:val="true"/>
        </w:rPr>
        <w:t>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: "</w:t>
      </w:r>
      <w:r>
        <w:rPr>
          <w:b/>
          <w:b/>
          <w:bCs/>
          <w:rtl w:val="true"/>
        </w:rPr>
        <w:t>מתנצל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למדתי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האלה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start="651" w:end="0"/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  <w:rtl w:val="true"/>
        </w:rPr>
      </w:r>
    </w:p>
    <w:p>
      <w:pPr>
        <w:pStyle w:val="Normal"/>
        <w:spacing w:lineRule="auto" w:line="360"/>
        <w:ind w:hanging="651" w:start="651" w:end="0"/>
        <w:jc w:val="both"/>
        <w:rPr/>
      </w:pPr>
      <w:r>
        <w:rPr>
          <w:b/>
          <w:bCs/>
        </w:rPr>
        <w:t>8</w:t>
      </w:r>
      <w:r>
        <w:rPr>
          <w:b/>
          <w:bCs/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הממונה</w:t>
      </w:r>
      <w:r>
        <w:rPr>
          <w:rtl w:val="true"/>
        </w:rPr>
        <w:t xml:space="preserve">)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; </w:t>
      </w:r>
      <w:r>
        <w:rPr>
          <w:rtl w:val="true"/>
        </w:rPr>
        <w:t>זאת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hanging="651" w:start="651"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spacing w:lineRule="auto" w:line="360"/>
        <w:ind w:hanging="651" w:start="651"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</w:rPr>
        <w:t>9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חוות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השירות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16/11/21</w:t>
      </w:r>
      <w:r>
        <w:rPr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ומנומקת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tl w:val="true"/>
        </w:rPr>
        <w:t>ח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>: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סנאן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סנאן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7/12/21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בשאלת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ההתאמה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ובהתאם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27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51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.(</w:t>
      </w:r>
      <w:r>
        <w:rPr>
          <w:b/>
          <w:b/>
          <w:bCs/>
          <w:rtl w:val="true"/>
        </w:rPr>
        <w:t>ב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)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קצין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המודיעין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למשטרת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סביבתו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26/10/2021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משטרת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מתנגדת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להעסקתו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בעבודות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u w:val="single"/>
          <w:rtl w:val="true"/>
        </w:rPr>
        <w:t>".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קפדניים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והממונה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8:00</w:t>
      </w:r>
      <w:r>
        <w:rPr>
          <w:rtl w:val="true"/>
        </w:rPr>
        <w:t xml:space="preserve">, </w:t>
      </w:r>
      <w:r>
        <w:rPr>
          <w:rtl w:val="true"/>
        </w:rPr>
        <w:t>ביחידת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Cs w:val="26"/>
          <w:rtl w:val="true"/>
        </w:rPr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דיון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והכרעה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highlight w:val="yellow"/>
        </w:rPr>
      </w:pP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מן המפורסמות הוא כי </w:t>
      </w:r>
      <w:r>
        <w:rPr>
          <w:rFonts w:ascii="David" w:hAnsi="David"/>
          <w:rtl w:val="true"/>
        </w:rPr>
        <w:t>העיקרון המנחה את בתי המשפט בעת גזירת העונש הוא עקרון ההלימה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דהיינו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יחס הולם בין החומרה של מעשה העבירה בנסיבותיו ומידת אשמתו של הנאשם לבין סוג העונש המוטל עליו ומידתו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סעיף </w:t>
      </w:r>
      <w:hyperlink r:id="rId28"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טרם גזירת העונש על הנאשם על בית המשפט לקבוע את מתחם העונש ההולם המבוסס על נסיבות ביצוע העבירה הייחודית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הערכים החברתיים שנפגעו מביצועה ומידת הפגיעה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מדיניות הענישה הנהוגה ונסיבות נוספות הקשורות בביצוע העבירה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סעיף </w:t>
      </w:r>
      <w:hyperlink r:id="rId30"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8"/>
          <w:szCs w:val="18"/>
          <w:highlight w:val="yellow"/>
        </w:rPr>
      </w:pPr>
      <w:r>
        <w:rPr>
          <w:rFonts w:cs="David" w:ascii="David" w:hAnsi="David"/>
          <w:sz w:val="18"/>
          <w:szCs w:val="18"/>
          <w:highlight w:val="yellow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ענישה היא אינדיבידואלית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ובמסגרת הענישה ההולמת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לאזן בין מספר אינטרסים שונים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נסיבות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תדירות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חומרתן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אופן ומידת ההשפעה שלהן על החברה מחד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ומאידך גיסא נסיבותיו האישיות של מבצע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עברו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גילו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אפשרויות שיקום ועוד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 w:before="0" w:after="200"/>
        <w:ind w:start="720" w:end="0"/>
        <w:jc w:val="both"/>
        <w:rPr>
          <w:rFonts w:ascii="David" w:hAnsi="David" w:cs="David"/>
          <w:b/>
          <w:bCs/>
          <w:sz w:val="4"/>
          <w:szCs w:val="4"/>
          <w:u w:val="single"/>
        </w:rPr>
      </w:pPr>
      <w:r>
        <w:rPr>
          <w:rFonts w:cs="David" w:ascii="David" w:hAnsi="David"/>
          <w:b/>
          <w:bCs/>
          <w:sz w:val="4"/>
          <w:szCs w:val="4"/>
          <w:u w:val="single"/>
          <w:rtl w:val="true"/>
        </w:rPr>
      </w:r>
    </w:p>
    <w:p>
      <w:pPr>
        <w:pStyle w:val="Normal"/>
        <w:spacing w:lineRule="auto" w:line="360" w:before="0" w:after="200"/>
        <w:ind w:start="720" w:end="0"/>
        <w:jc w:val="both"/>
        <w:rPr>
          <w:rFonts w:ascii="David" w:hAnsi="David" w:cs="David"/>
          <w:b/>
          <w:bCs/>
          <w:sz w:val="2"/>
          <w:szCs w:val="2"/>
          <w:u w:val="single"/>
        </w:rPr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rtl w:val="true"/>
          </w:rPr>
          <w:t>לסעיף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 w:before="0" w:after="200"/>
        <w:ind w:start="720" w:end="0"/>
        <w:jc w:val="both"/>
        <w:rPr>
          <w:rFonts w:ascii="David" w:hAnsi="David" w:cs="David"/>
          <w:b/>
          <w:bCs/>
          <w:sz w:val="2"/>
          <w:szCs w:val="2"/>
          <w:u w:val="single"/>
        </w:rPr>
      </w:pPr>
      <w:r>
        <w:rPr>
          <w:rFonts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u w:val="single"/>
          <w:rtl w:val="true"/>
        </w:rPr>
        <w:t>חומרת העבירות והערכים החברתיים שנפגעו בעטיין</w:t>
      </w:r>
      <w:r>
        <w:rPr>
          <w:rFonts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אין צורך להכביר מילים אודות חומרתן של 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פוטנציאל הסיכון הרב הגלום בהן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כעולה מעובדות כתב האישום המתוקן בהן הודה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החזיק ברכבו מטען חבלה מאולתר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שרכיביו פורטו בכתב האישום המתוקן ובסעיף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דלעיל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אך </w:t>
      </w:r>
      <w:r>
        <w:rPr>
          <w:rFonts w:ascii="David" w:hAnsi="David"/>
          <w:rtl w:val="true"/>
        </w:rPr>
        <w:t xml:space="preserve">נעדר אמצעי יזימה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בדמות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פתיל הדלקה או זיקוק עוגה או נפץ חבלה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הנחוץ להפעלתו או התפוצצותו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בכוחו </w:t>
      </w:r>
      <w:r>
        <w:rPr>
          <w:rFonts w:ascii="David" w:hAnsi="David"/>
          <w:rtl w:val="true"/>
        </w:rPr>
        <w:t xml:space="preserve">של מטען זה </w:t>
      </w:r>
      <w:r>
        <w:rPr>
          <w:rFonts w:ascii="David" w:hAnsi="David"/>
          <w:rtl w:val="true"/>
        </w:rPr>
        <w:t>לגרום לנזק בעת הפעלתו או התפוצצותו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 מ</w:t>
      </w:r>
      <w:r>
        <w:rPr>
          <w:rFonts w:ascii="David" w:hAnsi="David"/>
          <w:rtl w:val="true"/>
        </w:rPr>
        <w:t>גרימת צפצופים באוזניים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פציעות שטחיות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כוויות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ועד לרמה של קטיעת איבר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Spacing"/>
        <w:spacing w:lineRule="auto" w:line="360"/>
        <w:ind w:start="720" w:end="0"/>
        <w:jc w:val="both"/>
        <w:rPr>
          <w:rFonts w:ascii="David" w:hAnsi="David" w:cs="David"/>
          <w:sz w:val="20"/>
          <w:szCs w:val="20"/>
        </w:rPr>
      </w:pPr>
      <w:r>
        <w:rPr>
          <w:rFonts w:cs="David" w:ascii="David" w:hAnsi="David"/>
          <w:sz w:val="20"/>
          <w:szCs w:val="2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Fonts w:ascii="David" w:hAnsi="David"/>
          <w:rtl w:val="true"/>
        </w:rPr>
        <w:t>החוק והפסיקה ייחסו לעבירות בנשק חומרה מיוחדת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ההשלכות הרות האסון ופוטנציאל הסיכון הרב הגלום בביצוען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ואשר הפכו למרבה הצער למכת מדינה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נפסק כי זמינותו של נשק חם ורב עוצמה בעל פוטנציאל להסלמה בעבירות אלימות מסוגים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מחייבת ביטוי עונשי הולם והחמרה ברמת הענישה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הסיכון הגלום בעבירות בנשק ראו דבריה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ארבל ב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סלימאן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19/1/14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ראו גם 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סולברג ב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9830/17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פלאח חמודה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8/3/18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כדלהלן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  <w:color w:val="000000"/>
          <w:spacing w:val="10"/>
          <w:sz w:val="28"/>
          <w:szCs w:val="28"/>
          <w:shd w:fill="FFFFFF" w:val="clear"/>
        </w:rPr>
      </w:pP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בית משפט זה עמד לא אחת על חומרתן של עבירות הנשק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ועל הסכנה הרבה הטמונה </w:t>
      </w:r>
      <w:r>
        <w:rPr>
          <w:rFonts w:cs="Miriam" w:ascii="Miriam" w:hAnsi="Miriam"/>
          <w:rtl w:val="true"/>
        </w:rPr>
        <w:t>,</w:t>
      </w:r>
      <w:r>
        <w:rPr>
          <w:rFonts w:ascii="Miriam" w:hAnsi="Miriam" w:cs="Miriam"/>
          <w:rtl w:val="true"/>
        </w:rPr>
        <w:t>בביצוען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וזאת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בעיקר בשל כך שעבירות מסוג זה מקימות פוטנציאל להסלמה עבריינית ויוצרות סיכון ממשי וחמור לשלום הציבור וביטחונו</w:t>
      </w:r>
      <w:r>
        <w:rPr>
          <w:rFonts w:cs="Miriam" w:ascii="Miriam" w:hAnsi="Miriam"/>
          <w:rtl w:val="true"/>
        </w:rPr>
        <w:t>" (</w:t>
      </w:r>
      <w:hyperlink r:id="rId36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u w:val="single"/>
          </w:rPr>
          <w:t>3156/11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זראיעה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פסקה </w:t>
      </w:r>
      <w:r>
        <w:rPr>
          <w:rFonts w:cs="Miriam" w:ascii="Miriam" w:hAnsi="Miriam"/>
        </w:rPr>
        <w:t>5</w:t>
      </w:r>
      <w:r>
        <w:rPr>
          <w:rFonts w:cs="Miriam" w:ascii="Miriam" w:hAnsi="Miriam"/>
          <w:rtl w:val="true"/>
        </w:rPr>
        <w:t xml:space="preserve"> (</w:t>
      </w:r>
      <w:r>
        <w:rPr>
          <w:rFonts w:cs="Miriam" w:ascii="Miriam" w:hAnsi="Miriam"/>
        </w:rPr>
        <w:t>21.2.2012</w:t>
      </w:r>
      <w:r>
        <w:rPr>
          <w:rFonts w:cs="Miriam" w:ascii="Miriam" w:hAnsi="Miriam"/>
          <w:rtl w:val="true"/>
        </w:rPr>
        <w:t xml:space="preserve">); </w:t>
      </w:r>
      <w:r>
        <w:rPr>
          <w:rFonts w:ascii="Miriam" w:hAnsi="Miriam" w:cs="Miriam"/>
          <w:rtl w:val="true"/>
        </w:rPr>
        <w:t>ראו גם</w:t>
      </w:r>
      <w:r>
        <w:rPr>
          <w:rFonts w:cs="Miriam" w:ascii="Miriam" w:hAnsi="Miriam"/>
          <w:rtl w:val="true"/>
        </w:rPr>
        <w:t xml:space="preserve">: </w:t>
      </w:r>
      <w:hyperlink r:id="rId37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u w:val="single"/>
          </w:rPr>
          <w:t>27/17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בסל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 xml:space="preserve">מדינת ישראל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 xml:space="preserve">פסקה </w:t>
      </w:r>
      <w:r>
        <w:rPr>
          <w:rFonts w:cs="Miriam" w:ascii="Miriam" w:hAnsi="Miriam"/>
        </w:rPr>
        <w:t>1</w:t>
      </w:r>
      <w:r>
        <w:rPr>
          <w:rFonts w:cs="Miriam" w:ascii="Miriam" w:hAnsi="Miriam"/>
          <w:rtl w:val="true"/>
        </w:rPr>
        <w:t xml:space="preserve"> (</w:t>
      </w:r>
      <w:r>
        <w:rPr>
          <w:rFonts w:cs="Miriam" w:ascii="Miriam" w:hAnsi="Miriam"/>
        </w:rPr>
        <w:t>12.12.2017</w:t>
      </w:r>
      <w:r>
        <w:rPr>
          <w:rFonts w:cs="Miriam" w:ascii="Miriam" w:hAnsi="Miriam"/>
          <w:rtl w:val="true"/>
        </w:rPr>
        <w:t xml:space="preserve">)). </w:t>
      </w:r>
      <w:r>
        <w:rPr>
          <w:rFonts w:ascii="Miriam" w:hAnsi="Miriam" w:cs="Miriam"/>
          <w:rtl w:val="true"/>
        </w:rPr>
        <w:t>בהתאם לכך</w:t>
      </w:r>
      <w:r>
        <w:rPr>
          <w:rFonts w:cs="Miriam" w:ascii="Miriam" w:hAnsi="Miriam"/>
          <w:rtl w:val="true"/>
        </w:rPr>
        <w:t>, "</w:t>
      </w:r>
      <w:r>
        <w:rPr>
          <w:rFonts w:ascii="Miriam" w:hAnsi="Miriam" w:cs="Miriam"/>
          <w:rtl w:val="true"/>
        </w:rPr>
        <w:t>מדיניות הענישה הנהוגה בעבירות אלה היא מדיניות של ענישה מחמירה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המחייבת בדרך כלל הטלת עונשי מאסר לריצוי בפועל גם על מי שזו הרשעתו הראשונה</w:t>
      </w:r>
      <w:r>
        <w:rPr>
          <w:rFonts w:cs="Miriam" w:ascii="Miriam" w:hAnsi="Miriam"/>
          <w:rtl w:val="true"/>
        </w:rPr>
        <w:t>" (</w:t>
      </w:r>
      <w:hyperlink r:id="rId38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u w:val="single"/>
          </w:rPr>
          <w:t>6989/13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פרח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פסקה </w:t>
      </w:r>
      <w:r>
        <w:rPr>
          <w:rFonts w:cs="Miriam" w:ascii="Miriam" w:hAnsi="Miriam"/>
        </w:rPr>
        <w:t>13</w:t>
      </w:r>
      <w:r>
        <w:rPr>
          <w:rFonts w:cs="Miriam" w:ascii="Miriam" w:hAnsi="Miriam"/>
          <w:rtl w:val="true"/>
        </w:rPr>
        <w:t xml:space="preserve"> (</w:t>
      </w:r>
      <w:r>
        <w:rPr>
          <w:rFonts w:cs="Miriam" w:ascii="Miriam" w:hAnsi="Miriam"/>
        </w:rPr>
        <w:t>25.2.2014</w:t>
      </w:r>
      <w:r>
        <w:rPr>
          <w:rFonts w:cs="Miriam" w:ascii="Miriam" w:hAnsi="Miriam"/>
          <w:rtl w:val="true"/>
        </w:rPr>
        <w:t xml:space="preserve">))".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ראו גם 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2564/19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אזברגה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18/7/19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והמובאות 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סולברג</w:t>
      </w:r>
      <w:r>
        <w:rPr>
          <w:rFonts w:cs="David" w:ascii="David" w:hAnsi="David"/>
          <w:rtl w:val="true"/>
        </w:rPr>
        <w:t xml:space="preserve">; </w:t>
      </w:r>
      <w:hyperlink r:id="rId4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2398/14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אלהוייזל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8/7/14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עמית</w:t>
      </w:r>
      <w:r>
        <w:rPr>
          <w:rFonts w:cs="David" w:ascii="David" w:hAnsi="David"/>
          <w:rtl w:val="true"/>
        </w:rPr>
        <w:t xml:space="preserve">; </w:t>
      </w: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8207/19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אליהו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13/7/20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סולברג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ind w:end="0"/>
        <w:jc w:val="start"/>
        <w:rPr>
          <w:rFonts w:ascii="Miriam" w:hAnsi="Miriam" w:cs="Miriam"/>
          <w:color w:val="000000"/>
          <w:spacing w:val="10"/>
          <w:sz w:val="16"/>
          <w:szCs w:val="16"/>
          <w:shd w:fill="FFFFFF" w:val="clear"/>
        </w:rPr>
      </w:pPr>
      <w:r>
        <w:rPr>
          <w:rFonts w:cs="Miriam" w:ascii="Miriam" w:hAnsi="Miriam"/>
          <w:color w:val="000000"/>
          <w:spacing w:val="10"/>
          <w:sz w:val="16"/>
          <w:szCs w:val="16"/>
          <w:shd w:fill="FFFFFF" w:val="clear"/>
          <w:rtl w:val="true"/>
        </w:rPr>
      </w:r>
    </w:p>
    <w:p>
      <w:pPr>
        <w:pStyle w:val="Normal"/>
        <w:shd w:fill="FFFFFF" w:val="clear"/>
        <w:spacing w:lineRule="atLeast" w:line="36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</w:t>
      </w:r>
      <w:hyperlink r:id="rId4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1323/13</w:t>
        </w:r>
      </w:hyperlink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חסן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5/6/13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b/>
          <w:b/>
          <w:bCs/>
          <w:color w:val="000000"/>
          <w:rtl w:val="true"/>
        </w:rPr>
        <w:t>עניין חסן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הדגישה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ארבל את המגמה המתחייבת של החמרה בענישה בעבירות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המיושמת בפסיקה בשנים האחרונות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בצד הצורך להקפיד על ענישה אינדיבידואלית התואמת כל מקרה לנסיבותיו</w:t>
      </w:r>
      <w:r>
        <w:rPr>
          <w:rFonts w:cs="David" w:ascii="David" w:hAnsi="David"/>
          <w:color w:val="000000"/>
          <w:rtl w:val="true"/>
        </w:rPr>
        <w:t>:</w:t>
      </w:r>
      <w:r>
        <w:rPr>
          <w:rFonts w:cs="Times New Roman"/>
          <w:color w:val="000000"/>
          <w:rtl w:val="true"/>
        </w:rPr>
        <w:t xml:space="preserve"> </w:t>
      </w:r>
    </w:p>
    <w:p>
      <w:pPr>
        <w:pStyle w:val="Normal"/>
        <w:shd w:fill="FFFFFF" w:val="clear"/>
        <w:spacing w:lineRule="atLeast" w:line="360"/>
        <w:ind w:start="720" w:end="0"/>
        <w:jc w:val="both"/>
        <w:rPr>
          <w:rFonts w:ascii="David" w:hAnsi="David" w:cs="David"/>
          <w:color w:val="000000"/>
          <w:sz w:val="8"/>
          <w:szCs w:val="8"/>
        </w:rPr>
      </w:pPr>
      <w:r>
        <w:rPr>
          <w:rFonts w:cs="David" w:ascii="David" w:hAnsi="David"/>
          <w:color w:val="000000"/>
          <w:sz w:val="8"/>
          <w:szCs w:val="8"/>
          <w:rtl w:val="true"/>
        </w:rPr>
      </w:r>
    </w:p>
    <w:p>
      <w:pPr>
        <w:pStyle w:val="Normal"/>
        <w:shd w:fill="FFFFFF" w:val="clear"/>
        <w:spacing w:lineRule="atLeast" w:line="360"/>
        <w:ind w:start="1440" w:end="0"/>
        <w:jc w:val="both"/>
        <w:rPr>
          <w:color w:val="000000"/>
          <w:sz w:val="2"/>
          <w:szCs w:val="2"/>
        </w:rPr>
      </w:pPr>
      <w:r>
        <w:rPr>
          <w:rFonts w:cs="Miriam" w:ascii="Miriam" w:hAnsi="Miriam"/>
          <w:color w:val="000000"/>
          <w:rtl w:val="true"/>
        </w:rPr>
        <w:t>"</w:t>
      </w:r>
      <w:r>
        <w:rPr>
          <w:rFonts w:ascii="Miriam" w:hAnsi="Miriam" w:cs="Miriam"/>
          <w:color w:val="000000"/>
          <w:rtl w:val="true"/>
        </w:rPr>
        <w:t>נוכח היקפן המתרחב של עבירות המבוצעות בנשק בכלל וסחר בנשק בפרט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וזמינותו המדאיגה של נשק בלתי חוקי במחוזותינו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התעורר הצורך להחמיר בעונשי המאסר המוטלים בעבירות אלה</w:t>
      </w:r>
      <w:r>
        <w:rPr>
          <w:rFonts w:cs="Miriam" w:ascii="Miriam" w:hAnsi="Miriam"/>
          <w:color w:val="000000"/>
          <w:rtl w:val="true"/>
        </w:rPr>
        <w:t xml:space="preserve">. </w:t>
      </w:r>
      <w:r>
        <w:rPr>
          <w:rFonts w:ascii="Miriam" w:hAnsi="Miriam" w:cs="Miriam"/>
          <w:color w:val="000000"/>
          <w:rtl w:val="true"/>
        </w:rPr>
        <w:t xml:space="preserve">אכן </w:t>
      </w:r>
      <w:r>
        <w:rPr>
          <w:rFonts w:cs="Miriam" w:ascii="Miriam" w:hAnsi="Miriam"/>
          <w:color w:val="000000"/>
          <w:rtl w:val="true"/>
        </w:rPr>
        <w:t>"</w:t>
      </w:r>
      <w:r>
        <w:rPr>
          <w:rFonts w:ascii="Miriam" w:hAnsi="Miriam" w:cs="Miriam"/>
          <w:color w:val="000000"/>
          <w:rtl w:val="true"/>
        </w:rPr>
        <w:t>התגלגלותם</w:t>
      </w:r>
      <w:r>
        <w:rPr>
          <w:rFonts w:cs="Miriam" w:ascii="Miriam" w:hAnsi="Miriam"/>
          <w:color w:val="000000"/>
          <w:rtl w:val="true"/>
        </w:rPr>
        <w:t xml:space="preserve">" </w:t>
      </w:r>
      <w:r>
        <w:rPr>
          <w:rFonts w:ascii="Miriam" w:hAnsi="Miriam" w:cs="Miriam"/>
          <w:color w:val="000000"/>
          <w:rtl w:val="true"/>
        </w:rPr>
        <w:t>של כלי נשק מיד ליד ללא פיקוח עלול להוביל להגעתם בדרך לא דרך לגורמים פליליים ועוינים</w:t>
      </w:r>
      <w:r>
        <w:rPr>
          <w:rFonts w:cs="Miriam" w:ascii="Miriam" w:hAnsi="Miriam"/>
          <w:color w:val="000000"/>
          <w:rtl w:val="true"/>
        </w:rPr>
        <w:t xml:space="preserve">. </w:t>
      </w:r>
      <w:r>
        <w:rPr>
          <w:rFonts w:ascii="Miriam" w:hAnsi="Miriam" w:cs="Miriam"/>
          <w:color w:val="000000"/>
          <w:rtl w:val="true"/>
        </w:rPr>
        <w:t xml:space="preserve">אין לדעת מה יעלה בגורלם של כלי נשק אלה ולאילו תוצאות הרסניות יובילו </w:t>
      </w:r>
      <w:r>
        <w:rPr>
          <w:rFonts w:cs="Miriam" w:ascii="Miriam" w:hAnsi="Miriam"/>
          <w:color w:val="000000"/>
          <w:rtl w:val="true"/>
        </w:rPr>
        <w:t xml:space="preserve">- </w:t>
      </w:r>
      <w:r>
        <w:rPr>
          <w:rFonts w:ascii="Miriam" w:hAnsi="Miriam" w:cs="Miriam"/>
          <w:color w:val="000000"/>
          <w:rtl w:val="true"/>
        </w:rPr>
        <w:t>בסכסוך ברחוב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בקטטה בין ניצים ואף בתוך המשפחה פנימה</w:t>
      </w:r>
      <w:r>
        <w:rPr>
          <w:rFonts w:cs="Miriam" w:ascii="Miriam" w:hAnsi="Miriam"/>
          <w:color w:val="000000"/>
          <w:rtl w:val="true"/>
        </w:rPr>
        <w:t xml:space="preserve">. </w:t>
      </w:r>
      <w:r>
        <w:rPr>
          <w:rFonts w:ascii="Miriam" w:hAnsi="Miriam" w:cs="Miriam"/>
          <w:color w:val="000000"/>
          <w:rtl w:val="true"/>
        </w:rPr>
        <w:t>הסכנה הנשקפת לציבור כתוצאה מעבירות אלה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לצד המימדים שאליהם הגיעו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הגנה על שלום הציבור מפני פגיעות בגוף או בנפש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ולהחמיר את עונשי המאסר המוטלים בגין פעילות עבריינית זאת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בהדרגה</w:t>
      </w:r>
      <w:r>
        <w:rPr>
          <w:rFonts w:cs="Miriam" w:ascii="Miriam" w:hAnsi="Miriam"/>
          <w:color w:val="000000"/>
          <w:rtl w:val="true"/>
        </w:rPr>
        <w:t xml:space="preserve">. </w:t>
      </w:r>
      <w:r>
        <w:rPr>
          <w:rFonts w:ascii="Miriam" w:hAnsi="Miriam" w:cs="Miriam"/>
          <w:color w:val="000000"/>
          <w:rtl w:val="true"/>
        </w:rPr>
        <w:t>למותר לציין כי אין בכך כדי לחתור תחת האופי האינדיבידואלי שבמלאכת הענישה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הנעשית בכל מקרה לגופו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לפי נסיבותיו ומידת אשמו של הנאשם</w:t>
      </w:r>
      <w:r>
        <w:rPr>
          <w:rFonts w:cs="Miriam" w:ascii="Miriam" w:hAnsi="Miriam"/>
          <w:color w:val="000000"/>
          <w:rtl w:val="true"/>
        </w:rPr>
        <w:t>"</w:t>
      </w:r>
      <w:r>
        <w:rPr>
          <w:rFonts w:cs="Miriam" w:ascii="Miriam" w:hAnsi="Miriam"/>
          <w:color w:val="000000"/>
          <w:rtl w:val="true"/>
        </w:rPr>
        <w:t>.</w:t>
      </w:r>
      <w:r>
        <w:rPr>
          <w:color w:val="000000"/>
          <w:sz w:val="12"/>
          <w:szCs w:val="12"/>
          <w:rtl w:val="true"/>
        </w:rPr>
        <w:t xml:space="preserve"> </w:t>
      </w:r>
    </w:p>
    <w:p>
      <w:pPr>
        <w:pStyle w:val="Normal"/>
        <w:ind w:end="0"/>
        <w:jc w:val="start"/>
        <w:rPr>
          <w:color w:val="000000"/>
          <w:sz w:val="2"/>
          <w:szCs w:val="2"/>
        </w:rPr>
      </w:pPr>
      <w:r>
        <w:rPr>
          <w:color w:val="000000"/>
          <w:sz w:val="2"/>
          <w:szCs w:val="2"/>
          <w:rtl w:val="true"/>
        </w:rPr>
        <w:t>]</w:t>
      </w:r>
    </w:p>
    <w:p>
      <w:pPr>
        <w:pStyle w:val="Normal"/>
        <w:shd w:fill="FFFFFF" w:val="clear"/>
        <w:spacing w:lineRule="atLeast" w:line="360" w:before="0" w:after="160"/>
        <w:ind w:start="651" w:end="0"/>
        <w:jc w:val="both"/>
        <w:rPr/>
      </w:pP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מסוכנותם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חומרי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נפץ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ומטעני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חבלה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הש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ב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5336/13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צדוק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17/11/13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כדלהלן</w:t>
      </w:r>
      <w:r>
        <w:rPr>
          <w:color w:val="000000"/>
          <w:rtl w:val="true"/>
        </w:rPr>
        <w:t xml:space="preserve">: </w:t>
      </w:r>
    </w:p>
    <w:p>
      <w:pPr>
        <w:pStyle w:val="Normal"/>
        <w:widowControl w:val="false"/>
        <w:tabs>
          <w:tab w:val="clear" w:pos="720"/>
          <w:tab w:val="left" w:pos="206" w:leader="none"/>
        </w:tabs>
        <w:spacing w:lineRule="auto" w:line="360"/>
        <w:ind w:start="1440" w:end="0"/>
        <w:jc w:val="both"/>
        <w:rPr>
          <w:rFonts w:ascii="Miriam" w:hAnsi="Miriam" w:eastAsia="Calibri" w:cs="Miriam"/>
          <w:color w:val="000000"/>
          <w:sz w:val="10"/>
          <w:szCs w:val="10"/>
        </w:rPr>
      </w:pPr>
      <w:r>
        <w:rPr>
          <w:rFonts w:eastAsia="Calibri" w:cs="Miriam" w:ascii="Miriam" w:hAnsi="Miriam"/>
          <w:color w:val="000000"/>
          <w:sz w:val="10"/>
          <w:szCs w:val="10"/>
          <w:rtl w:val="true"/>
        </w:rPr>
      </w:r>
    </w:p>
    <w:p>
      <w:pPr>
        <w:pStyle w:val="Normal"/>
        <w:widowControl w:val="false"/>
        <w:tabs>
          <w:tab w:val="clear" w:pos="720"/>
          <w:tab w:val="left" w:pos="206" w:leader="none"/>
        </w:tabs>
        <w:spacing w:lineRule="auto" w:line="360"/>
        <w:ind w:start="1440" w:end="0"/>
        <w:jc w:val="both"/>
        <w:rPr/>
      </w:pPr>
      <w:r>
        <w:rPr>
          <w:rFonts w:eastAsia="Calibri" w:cs="Miriam" w:ascii="Miriam" w:hAnsi="Miriam"/>
          <w:rtl w:val="true"/>
        </w:rPr>
        <w:t>"</w:t>
      </w:r>
      <w:r>
        <w:rPr>
          <w:rFonts w:ascii="Miriam" w:hAnsi="Miriam" w:eastAsia="Calibri" w:cs="Miriam"/>
          <w:rtl w:val="true"/>
        </w:rPr>
        <w:t>מסוכנותם הרבה של חומרי נפץ ומטעני חבלה</w:t>
      </w:r>
      <w:r>
        <w:rPr>
          <w:rFonts w:eastAsia="Calibri" w:cs="Miriam" w:ascii="Miriam" w:hAnsi="Miriam"/>
          <w:rtl w:val="true"/>
        </w:rPr>
        <w:t xml:space="preserve">, </w:t>
      </w:r>
      <w:r>
        <w:rPr>
          <w:rFonts w:ascii="Miriam" w:hAnsi="Miriam" w:eastAsia="Calibri" w:cs="Miriam"/>
          <w:rtl w:val="true"/>
        </w:rPr>
        <w:t>ידועה לכל בר דעת</w:t>
      </w:r>
      <w:r>
        <w:rPr>
          <w:rFonts w:eastAsia="Calibri" w:cs="Miriam" w:ascii="Miriam" w:hAnsi="Miriam"/>
          <w:rtl w:val="true"/>
        </w:rPr>
        <w:t xml:space="preserve">. </w:t>
      </w:r>
      <w:r>
        <w:rPr>
          <w:rFonts w:ascii="Miriam" w:hAnsi="Miriam" w:eastAsia="Calibri" w:cs="Miriam"/>
          <w:rtl w:val="true"/>
        </w:rPr>
        <w:t>סכנת נפשות</w:t>
      </w:r>
      <w:r>
        <w:rPr>
          <w:rFonts w:eastAsia="Calibri" w:cs="Miriam" w:ascii="Miriam" w:hAnsi="Miriam"/>
          <w:rtl w:val="true"/>
        </w:rPr>
        <w:t xml:space="preserve">, </w:t>
      </w:r>
      <w:r>
        <w:rPr>
          <w:rFonts w:ascii="Miriam" w:hAnsi="Miriam" w:eastAsia="Calibri" w:cs="Miriam"/>
          <w:rtl w:val="true"/>
        </w:rPr>
        <w:t>פשוטו כמשמעו</w:t>
      </w:r>
      <w:r>
        <w:rPr>
          <w:rFonts w:eastAsia="Calibri" w:cs="Miriam" w:ascii="Miriam" w:hAnsi="Miriam"/>
          <w:rtl w:val="true"/>
        </w:rPr>
        <w:t xml:space="preserve">. </w:t>
      </w:r>
      <w:r>
        <w:rPr>
          <w:rFonts w:ascii="Miriam" w:hAnsi="Miriam" w:eastAsia="Calibri" w:cs="Miriam"/>
          <w:rtl w:val="true"/>
        </w:rPr>
        <w:t>שומה להרתם על מנת למגר תופעה של נשיאה והובלה של נשק</w:t>
      </w:r>
      <w:r>
        <w:rPr>
          <w:rFonts w:eastAsia="Calibri" w:cs="Miriam" w:ascii="Miriam" w:hAnsi="Miriam"/>
          <w:rtl w:val="true"/>
        </w:rPr>
        <w:t xml:space="preserve">. </w:t>
      </w:r>
      <w:r>
        <w:rPr>
          <w:rFonts w:ascii="Miriam" w:hAnsi="Miriam" w:eastAsia="Calibri" w:cs="Miriam"/>
          <w:rtl w:val="true"/>
        </w:rPr>
        <w:t>בחיי אדם עסקינן</w:t>
      </w:r>
      <w:r>
        <w:rPr>
          <w:rFonts w:eastAsia="Calibri" w:cs="Miriam" w:ascii="Miriam" w:hAnsi="Miriam"/>
          <w:rtl w:val="true"/>
        </w:rPr>
        <w:t xml:space="preserve">, </w:t>
      </w:r>
      <w:r>
        <w:rPr>
          <w:rFonts w:ascii="Miriam" w:hAnsi="Miriam" w:eastAsia="Calibri" w:cs="Miriam"/>
          <w:rtl w:val="true"/>
        </w:rPr>
        <w:t>ואין מקום לפשרות</w:t>
      </w:r>
      <w:r>
        <w:rPr>
          <w:rFonts w:eastAsia="Calibri" w:cs="Miriam" w:ascii="Miriam" w:hAnsi="Miriam"/>
          <w:rtl w:val="true"/>
        </w:rPr>
        <w:t>" (</w:t>
      </w:r>
      <w:r>
        <w:rPr>
          <w:rFonts w:ascii="David" w:hAnsi="David" w:eastAsia="Calibri"/>
          <w:rtl w:val="true"/>
        </w:rPr>
        <w:t>כן ראו דבריו של כב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הש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ובראן ב</w:t>
      </w:r>
      <w:hyperlink r:id="rId4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5995/11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בדראן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24/8/11</w:t>
      </w:r>
      <w:r>
        <w:rPr>
          <w:rFonts w:eastAsia="Calibri" w:cs="David" w:ascii="David" w:hAnsi="David"/>
          <w:rtl w:val="true"/>
        </w:rPr>
        <w:t>)).</w:t>
      </w:r>
    </w:p>
    <w:p>
      <w:pPr>
        <w:pStyle w:val="Normal"/>
        <w:widowControl w:val="false"/>
        <w:tabs>
          <w:tab w:val="clear" w:pos="720"/>
          <w:tab w:val="left" w:pos="206" w:leader="none"/>
        </w:tabs>
        <w:spacing w:lineRule="auto" w:line="360"/>
        <w:ind w:start="1440" w:end="0"/>
        <w:jc w:val="both"/>
        <w:rPr>
          <w:rFonts w:ascii="David" w:hAnsi="David" w:eastAsia="Calibri" w:cs="David"/>
          <w:sz w:val="8"/>
          <w:szCs w:val="8"/>
        </w:rPr>
      </w:pPr>
      <w:r>
        <w:rPr>
          <w:rFonts w:eastAsia="Calibri" w:cs="David" w:ascii="David" w:hAnsi="David"/>
          <w:sz w:val="8"/>
          <w:szCs w:val="8"/>
          <w:rtl w:val="true"/>
        </w:rPr>
      </w:r>
    </w:p>
    <w:p>
      <w:pPr>
        <w:pStyle w:val="Normal"/>
        <w:widowControl w:val="false"/>
        <w:tabs>
          <w:tab w:val="clear" w:pos="720"/>
          <w:tab w:val="left" w:pos="206" w:leader="none"/>
        </w:tabs>
        <w:spacing w:lineRule="auto" w:line="360"/>
        <w:ind w:start="1440" w:end="0"/>
        <w:jc w:val="both"/>
        <w:rPr>
          <w:rFonts w:ascii="David" w:hAnsi="David" w:cs="David"/>
          <w:color w:val="404040"/>
          <w:sz w:val="14"/>
          <w:szCs w:val="14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widowControl w:val="false"/>
        <w:tabs>
          <w:tab w:val="clear" w:pos="720"/>
          <w:tab w:val="left" w:pos="206" w:leader="none"/>
        </w:tabs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  <w:color w:val="404040"/>
        </w:rPr>
        <w:t>1</w:t>
      </w:r>
      <w:r>
        <w:rPr>
          <w:rFonts w:cs="David" w:ascii="David" w:hAnsi="David"/>
          <w:b/>
          <w:bCs/>
          <w:color w:val="404040"/>
        </w:rPr>
        <w:t>2</w:t>
      </w:r>
      <w:r>
        <w:rPr>
          <w:rFonts w:cs="David" w:ascii="David" w:hAnsi="David"/>
          <w:b/>
          <w:bCs/>
          <w:color w:val="404040"/>
          <w:rtl w:val="true"/>
        </w:rPr>
        <w:t>.</w:t>
      </w: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במסגרת הנסיבות הקשורות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להתחשב בכך שחלקו של הנאשם בביצוע העבירה הוא מלא ובלעדי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החזיק כאמור במטען החבלה בתוך שקית בחלקו האחורי של מושב הנהג של רכבו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יוער כי אפילו בהנחה כי </w:t>
      </w:r>
      <w:r>
        <w:rPr>
          <w:rFonts w:ascii="David" w:hAnsi="David"/>
          <w:rtl w:val="true"/>
        </w:rPr>
        <w:t>המטען ניתן לו על ידי אביו המנוח</w:t>
      </w:r>
      <w:r>
        <w:rPr>
          <w:rFonts w:ascii="David" w:hAnsi="David"/>
          <w:rtl w:val="true"/>
        </w:rPr>
        <w:t xml:space="preserve"> עובר לפטירתו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שגם טענתו כי הדבר נשכח ממנו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אינה עולה בקנה אחד עם עובדות כתב האישום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בהן הודה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המייחסות לו עבירה של מחשבה פלילית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דהיינו מודעות לטיב המעשה ולנסיבותיו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ולא הוכחה ברמת ההוכחה הנדרשת על ידי ההגנה במסגרת הטיעונים לעונש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ראו </w:t>
      </w:r>
      <w:r>
        <w:fldChar w:fldCharType="begin"/>
      </w:r>
      <w:r>
        <w:rPr>
          <w:rStyle w:val="Hyperlink"/>
          <w:rFonts w:cs="David" w:ascii="David" w:hAnsi="David"/>
        </w:rPr>
        <w:instrText xml:space="preserve"> HYPERLINK "http://www.nevo.co.il/law/70301/40j" \l ".c"</w:instrText>
      </w:r>
      <w:r>
        <w:rPr>
          <w:rStyle w:val="Hyperlink"/>
          <w:rFonts w:cs="David" w:ascii="David" w:hAnsi="David"/>
        </w:rPr>
        <w:fldChar w:fldCharType="separate"/>
      </w:r>
      <w:r>
        <w:rPr>
          <w:rStyle w:val="Hyperlink"/>
          <w:rFonts w:ascii="David" w:hAnsi="David"/>
          <w:rtl w:val="true"/>
        </w:rPr>
        <w:t xml:space="preserve">סעיף </w:t>
      </w:r>
      <w:r>
        <w:rPr>
          <w:rStyle w:val="Hyperlink"/>
          <w:rFonts w:cs="David" w:ascii="David" w:hAnsi="David"/>
        </w:rPr>
        <w:fldChar w:fldCharType="end"/>
      </w:r>
      <w:r>
        <w:rPr>
          <w:rStyle w:val="Hyperlink"/>
          <w:rFonts w:cs="David" w:ascii="David" w:hAnsi="David"/>
        </w:rPr>
        <w:t>40</w:t>
      </w:r>
      <w:r>
        <w:rPr>
          <w:rStyle w:val="Hyperlink"/>
          <w:rFonts w:ascii="David" w:hAnsi="David"/>
          <w:rtl w:val="true"/>
        </w:rPr>
        <w:t>י</w:t>
      </w:r>
      <w:r>
        <w:rPr>
          <w:rStyle w:val="Hyperlink"/>
          <w:rFonts w:cs="David" w:ascii="David" w:hAnsi="David"/>
          <w:rtl w:val="true"/>
        </w:rPr>
        <w:t>.(</w:t>
      </w:r>
      <w:r>
        <w:rPr>
          <w:rStyle w:val="Hyperlink"/>
          <w:rFonts w:ascii="David" w:hAnsi="David"/>
          <w:rtl w:val="true"/>
        </w:rPr>
        <w:t>ג</w:t>
      </w:r>
      <w:r>
        <w:rPr>
          <w:rStyle w:val="Hyperlink"/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4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כן ראו </w:t>
      </w:r>
      <w:hyperlink r:id="rId4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4442/19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שווץ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13/11/19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</w:t>
      </w:r>
      <w:hyperlink r:id="rId4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7876/15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חמאמרה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30/8/17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שניהם 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ברון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בנסיבות העניין ומשהודיע הנאשם במעמד הטיעונים לעונש כי הוא עומד על הודייתו בעובדות כתב האישום המתוקן כהווייתן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איני רואה ליתן לגרסה זו משקל לקולה בגזירת דינו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widowControl w:val="false"/>
        <w:tabs>
          <w:tab w:val="clear" w:pos="720"/>
          <w:tab w:val="left" w:pos="206" w:leader="none"/>
        </w:tabs>
        <w:spacing w:lineRule="auto" w:line="360"/>
        <w:ind w:hanging="720" w:start="720" w:end="0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widowControl w:val="false"/>
        <w:tabs>
          <w:tab w:val="clear" w:pos="720"/>
          <w:tab w:val="left" w:pos="206" w:leader="none"/>
        </w:tabs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עסקינן בבגיר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היה מודע לפסול שבמעשיו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ויכול היה להימנע מביצועם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widowControl w:val="false"/>
        <w:tabs>
          <w:tab w:val="clear" w:pos="720"/>
          <w:tab w:val="left" w:pos="206" w:leader="none"/>
        </w:tabs>
        <w:spacing w:lineRule="auto" w:line="360"/>
        <w:ind w:hanging="720" w:start="720" w:end="0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rtl w:val="true"/>
        </w:rPr>
        <w:tab/>
        <w:tab/>
      </w:r>
    </w:p>
    <w:p>
      <w:pPr>
        <w:pStyle w:val="Normal"/>
        <w:widowControl w:val="false"/>
        <w:tabs>
          <w:tab w:val="clear" w:pos="720"/>
          <w:tab w:val="left" w:pos="206" w:leader="none"/>
        </w:tabs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רואה להתחשב בכך שעסקינן בנשק – מטען חבלה אשר בעת תפיסתו היה נעדר אמצעי יזימה להפעלתו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כפי שעולה כאמור מעובדות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המתבססות על הראיות בתיק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widowControl w:val="false"/>
        <w:tabs>
          <w:tab w:val="clear" w:pos="720"/>
          <w:tab w:val="left" w:pos="206" w:leader="none"/>
        </w:tabs>
        <w:spacing w:lineRule="auto" w:line="360"/>
        <w:ind w:hanging="720" w:start="720" w:end="0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widowControl w:val="false"/>
        <w:tabs>
          <w:tab w:val="clear" w:pos="720"/>
          <w:tab w:val="left" w:pos="206" w:leader="none"/>
        </w:tabs>
        <w:spacing w:lineRule="auto" w:line="360"/>
        <w:ind w:hanging="720" w:start="720" w:end="0"/>
        <w:jc w:val="both"/>
        <w:rPr>
          <w:rFonts w:ascii="Calibri" w:hAnsi="Calibri" w:cs="Miriam"/>
          <w:sz w:val="22"/>
          <w:szCs w:val="22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נוכח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ומשעסקינן במקרה הנדון במטען חבלה ללא אמצעי יזימה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רואה להתחשב בכך שפוטנציאל הנזק הגלום במטען שבפנינו נמוך ביחס לכלי נשק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שנטען על ידי הסנגור ובצדק</w:t>
      </w:r>
      <w:r>
        <w:rPr>
          <w:rFonts w:cs="David" w:ascii="David" w:hAnsi="David"/>
          <w:rtl w:val="true"/>
        </w:rPr>
        <w:t xml:space="preserve">. </w:t>
      </w:r>
      <w:r>
        <w:rPr>
          <w:rFonts w:ascii="Calibri" w:hAnsi="Calibri" w:cs="Calibri"/>
          <w:rtl w:val="true"/>
        </w:rPr>
        <w:t>בנקודה זו יפים דבריו הבאים של בית המשפט העליון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כפי שנאמרו </w:t>
      </w:r>
      <w:r>
        <w:rPr>
          <w:rFonts w:ascii="Calibri" w:hAnsi="Calibri" w:cs="Calibri"/>
          <w:b/>
          <w:b/>
          <w:bCs/>
          <w:rtl w:val="true"/>
        </w:rPr>
        <w:t>בעניין חסן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widowControl w:val="false"/>
        <w:tabs>
          <w:tab w:val="clear" w:pos="720"/>
          <w:tab w:val="left" w:pos="206" w:leader="none"/>
        </w:tabs>
        <w:spacing w:lineRule="auto" w:line="360"/>
        <w:ind w:hanging="720" w:start="720" w:end="0"/>
        <w:jc w:val="both"/>
        <w:rPr>
          <w:rFonts w:ascii="Calibri" w:hAnsi="Calibri" w:cs="Miriam"/>
          <w:sz w:val="22"/>
          <w:szCs w:val="22"/>
        </w:rPr>
      </w:pPr>
      <w:r>
        <w:rPr>
          <w:rFonts w:cs="Miriam" w:ascii="Calibri" w:hAnsi="Calibri"/>
          <w:sz w:val="22"/>
          <w:szCs w:val="22"/>
          <w:rtl w:val="true"/>
        </w:rPr>
      </w:r>
    </w:p>
    <w:p>
      <w:pPr>
        <w:pStyle w:val="Normal"/>
        <w:widowControl w:val="false"/>
        <w:tabs>
          <w:tab w:val="clear" w:pos="720"/>
          <w:tab w:val="left" w:pos="206" w:leader="none"/>
        </w:tabs>
        <w:spacing w:lineRule="auto" w:line="360"/>
        <w:ind w:hanging="720" w:start="720" w:end="0"/>
        <w:jc w:val="both"/>
        <w:rPr>
          <w:rFonts w:ascii="Calibri" w:hAnsi="Calibri" w:cs="Miriam"/>
          <w:sz w:val="8"/>
          <w:szCs w:val="8"/>
        </w:rPr>
      </w:pPr>
      <w:r>
        <w:rPr>
          <w:rFonts w:cs="Miriam" w:ascii="Calibri" w:hAnsi="Calibri"/>
          <w:sz w:val="8"/>
          <w:szCs w:val="8"/>
          <w:rtl w:val="true"/>
        </w:rPr>
      </w:r>
    </w:p>
    <w:p>
      <w:pPr>
        <w:pStyle w:val="Normal"/>
        <w:widowControl w:val="false"/>
        <w:tabs>
          <w:tab w:val="clear" w:pos="720"/>
          <w:tab w:val="left" w:pos="206" w:leader="none"/>
        </w:tabs>
        <w:spacing w:lineRule="auto" w:line="360"/>
        <w:ind w:hanging="720" w:start="1440" w:end="0"/>
        <w:jc w:val="both"/>
        <w:rPr>
          <w:rFonts w:ascii="Calibri" w:hAnsi="Calibri" w:cs="Miriam"/>
        </w:rPr>
      </w:pPr>
      <w:r>
        <w:rPr>
          <w:rFonts w:cs="Miriam" w:ascii="Calibri" w:hAnsi="Calibri"/>
          <w:sz w:val="22"/>
          <w:szCs w:val="22"/>
          <w:rtl w:val="true"/>
        </w:rPr>
        <w:tab/>
        <w:t>"</w:t>
      </w:r>
      <w:r>
        <w:rPr>
          <w:rFonts w:ascii="Calibri" w:hAnsi="Calibri" w:cs="Miriam"/>
          <w:rtl w:val="true"/>
        </w:rPr>
        <w:t>למעשה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אין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חידוש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בקביעה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קיים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מדרג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ענישה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המבוצעות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בנשק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הנקבע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בין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השאר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סוג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איכות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וכמות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שנעשה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שימוש</w:t>
      </w:r>
      <w:r>
        <w:rPr>
          <w:rFonts w:cs="Miriam" w:ascii="Calibri" w:hAnsi="Calibri"/>
          <w:rtl w:val="true"/>
        </w:rPr>
        <w:t>: '</w:t>
      </w:r>
      <w:r>
        <w:rPr>
          <w:rFonts w:ascii="Calibri" w:hAnsi="Calibri" w:cs="Miriam"/>
          <w:rtl w:val="true"/>
        </w:rPr>
        <w:t>כבר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נאמר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אחת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בפסיקתנו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מידת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העונש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המוטל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בגין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המבוצעות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בנשק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מושפעת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מפוטנציאל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הסיכון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הרב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הטמון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המוחזק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כדין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ומהעברתו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מיד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ליד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פיקוח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u w:val="single"/>
          <w:rtl w:val="true"/>
        </w:rPr>
        <w:t>בבוא</w:t>
      </w:r>
      <w:r>
        <w:rPr>
          <w:rFonts w:ascii="Calibri" w:hAnsi="Calibri" w:eastAsia="Calibri" w:cs="Calibri"/>
          <w:u w:val="single"/>
          <w:rtl w:val="true"/>
        </w:rPr>
        <w:t xml:space="preserve"> </w:t>
      </w:r>
      <w:r>
        <w:rPr>
          <w:rFonts w:ascii="Calibri" w:hAnsi="Calibri" w:cs="Miriam"/>
          <w:u w:val="single"/>
          <w:rtl w:val="true"/>
        </w:rPr>
        <w:t>בית</w:t>
      </w:r>
      <w:r>
        <w:rPr>
          <w:rFonts w:ascii="Calibri" w:hAnsi="Calibri" w:eastAsia="Calibri" w:cs="Calibri"/>
          <w:u w:val="single"/>
          <w:rtl w:val="true"/>
        </w:rPr>
        <w:t xml:space="preserve"> </w:t>
      </w:r>
      <w:r>
        <w:rPr>
          <w:rFonts w:ascii="Calibri" w:hAnsi="Calibri" w:cs="Miriam"/>
          <w:u w:val="single"/>
          <w:rtl w:val="true"/>
        </w:rPr>
        <w:t>המשפט</w:t>
      </w:r>
      <w:r>
        <w:rPr>
          <w:rFonts w:ascii="Calibri" w:hAnsi="Calibri" w:eastAsia="Calibri" w:cs="Calibri"/>
          <w:u w:val="single"/>
          <w:rtl w:val="true"/>
        </w:rPr>
        <w:t xml:space="preserve"> </w:t>
      </w:r>
      <w:r>
        <w:rPr>
          <w:rFonts w:ascii="Calibri" w:hAnsi="Calibri" w:cs="Miriam"/>
          <w:u w:val="single"/>
          <w:rtl w:val="true"/>
        </w:rPr>
        <w:t>לגזור</w:t>
      </w:r>
      <w:r>
        <w:rPr>
          <w:rFonts w:ascii="Calibri" w:hAnsi="Calibri" w:eastAsia="Calibri" w:cs="Calibri"/>
          <w:u w:val="single"/>
          <w:rtl w:val="true"/>
        </w:rPr>
        <w:t xml:space="preserve"> </w:t>
      </w:r>
      <w:r>
        <w:rPr>
          <w:rFonts w:ascii="Calibri" w:hAnsi="Calibri" w:cs="Miriam"/>
          <w:u w:val="single"/>
          <w:rtl w:val="true"/>
        </w:rPr>
        <w:t>את</w:t>
      </w:r>
      <w:r>
        <w:rPr>
          <w:rFonts w:ascii="Calibri" w:hAnsi="Calibri" w:eastAsia="Calibri" w:cs="Calibri"/>
          <w:u w:val="single"/>
          <w:rtl w:val="true"/>
        </w:rPr>
        <w:t xml:space="preserve"> </w:t>
      </w:r>
      <w:r>
        <w:rPr>
          <w:rFonts w:ascii="Calibri" w:hAnsi="Calibri" w:cs="Miriam"/>
          <w:u w:val="single"/>
          <w:rtl w:val="true"/>
        </w:rPr>
        <w:t>הדין</w:t>
      </w:r>
      <w:r>
        <w:rPr>
          <w:rFonts w:ascii="Calibri" w:hAnsi="Calibri" w:eastAsia="Calibri" w:cs="Calibri"/>
          <w:u w:val="single"/>
          <w:rtl w:val="true"/>
        </w:rPr>
        <w:t xml:space="preserve"> </w:t>
      </w:r>
      <w:r>
        <w:rPr>
          <w:rFonts w:ascii="Calibri" w:hAnsi="Calibri" w:cs="Miriam"/>
          <w:u w:val="single"/>
          <w:rtl w:val="true"/>
        </w:rPr>
        <w:t>בעבירה</w:t>
      </w:r>
      <w:r>
        <w:rPr>
          <w:rFonts w:ascii="Calibri" w:hAnsi="Calibri" w:eastAsia="Calibri" w:cs="Calibri"/>
          <w:u w:val="single"/>
          <w:rtl w:val="true"/>
        </w:rPr>
        <w:t xml:space="preserve"> </w:t>
      </w:r>
      <w:r>
        <w:rPr>
          <w:rFonts w:ascii="Calibri" w:hAnsi="Calibri" w:cs="Miriam"/>
          <w:u w:val="single"/>
          <w:rtl w:val="true"/>
        </w:rPr>
        <w:t>של</w:t>
      </w:r>
      <w:r>
        <w:rPr>
          <w:rFonts w:ascii="Calibri" w:hAnsi="Calibri" w:eastAsia="Calibri" w:cs="Calibri"/>
          <w:u w:val="single"/>
          <w:rtl w:val="true"/>
        </w:rPr>
        <w:t xml:space="preserve"> </w:t>
      </w:r>
      <w:r>
        <w:rPr>
          <w:rFonts w:ascii="Calibri" w:hAnsi="Calibri" w:cs="Miriam"/>
          <w:u w:val="single"/>
          <w:rtl w:val="true"/>
        </w:rPr>
        <w:t>החזקה</w:t>
      </w:r>
      <w:r>
        <w:rPr>
          <w:rFonts w:ascii="Calibri" w:hAnsi="Calibri" w:eastAsia="Calibri" w:cs="Calibri"/>
          <w:u w:val="single"/>
          <w:rtl w:val="true"/>
        </w:rPr>
        <w:t xml:space="preserve">  </w:t>
      </w:r>
      <w:r>
        <w:rPr>
          <w:rFonts w:ascii="Calibri" w:hAnsi="Calibri" w:cs="Miriam"/>
          <w:u w:val="single"/>
          <w:rtl w:val="true"/>
        </w:rPr>
        <w:t>ונשיאה</w:t>
      </w:r>
      <w:r>
        <w:rPr>
          <w:rFonts w:ascii="Calibri" w:hAnsi="Calibri" w:eastAsia="Calibri" w:cs="Calibri"/>
          <w:u w:val="single"/>
          <w:rtl w:val="true"/>
        </w:rPr>
        <w:t xml:space="preserve"> </w:t>
      </w:r>
      <w:r>
        <w:rPr>
          <w:rFonts w:ascii="Calibri" w:hAnsi="Calibri" w:cs="Miriam"/>
          <w:u w:val="single"/>
          <w:rtl w:val="true"/>
        </w:rPr>
        <w:t>של</w:t>
      </w:r>
      <w:r>
        <w:rPr>
          <w:rFonts w:ascii="Calibri" w:hAnsi="Calibri" w:eastAsia="Calibri" w:cs="Calibri"/>
          <w:u w:val="single"/>
          <w:rtl w:val="true"/>
        </w:rPr>
        <w:t xml:space="preserve"> </w:t>
      </w:r>
      <w:r>
        <w:rPr>
          <w:rFonts w:ascii="Calibri" w:hAnsi="Calibri" w:cs="Miriam"/>
          <w:u w:val="single"/>
          <w:rtl w:val="true"/>
        </w:rPr>
        <w:t>נשק</w:t>
      </w:r>
      <w:r>
        <w:rPr>
          <w:rFonts w:cs="Miriam" w:ascii="Calibri" w:hAnsi="Calibri"/>
          <w:u w:val="single"/>
          <w:rtl w:val="true"/>
        </w:rPr>
        <w:t xml:space="preserve">, </w:t>
      </w:r>
      <w:r>
        <w:rPr>
          <w:rFonts w:ascii="Calibri" w:hAnsi="Calibri" w:cs="Miriam"/>
          <w:u w:val="single"/>
          <w:rtl w:val="true"/>
        </w:rPr>
        <w:t>עליו</w:t>
      </w:r>
      <w:r>
        <w:rPr>
          <w:rFonts w:ascii="Calibri" w:hAnsi="Calibri" w:eastAsia="Calibri" w:cs="Calibri"/>
          <w:u w:val="single"/>
          <w:rtl w:val="true"/>
        </w:rPr>
        <w:t xml:space="preserve"> </w:t>
      </w:r>
      <w:r>
        <w:rPr>
          <w:rFonts w:ascii="Calibri" w:hAnsi="Calibri" w:cs="Miriam"/>
          <w:u w:val="single"/>
          <w:rtl w:val="true"/>
        </w:rPr>
        <w:t>להתחשב</w:t>
      </w:r>
      <w:r>
        <w:rPr>
          <w:rFonts w:ascii="Calibri" w:hAnsi="Calibri" w:eastAsia="Calibri" w:cs="Calibri"/>
          <w:u w:val="single"/>
          <w:rtl w:val="true"/>
        </w:rPr>
        <w:t xml:space="preserve"> </w:t>
      </w:r>
      <w:r>
        <w:rPr>
          <w:rFonts w:ascii="Calibri" w:hAnsi="Calibri" w:cs="Miriam"/>
          <w:u w:val="single"/>
          <w:rtl w:val="true"/>
        </w:rPr>
        <w:t>בנסיבות</w:t>
      </w:r>
      <w:r>
        <w:rPr>
          <w:rFonts w:ascii="Calibri" w:hAnsi="Calibri" w:eastAsia="Calibri" w:cs="Calibri"/>
          <w:u w:val="single"/>
          <w:rtl w:val="true"/>
        </w:rPr>
        <w:t xml:space="preserve"> </w:t>
      </w:r>
      <w:r>
        <w:rPr>
          <w:rFonts w:ascii="Calibri" w:hAnsi="Calibri" w:cs="Miriam"/>
          <w:u w:val="single"/>
          <w:rtl w:val="true"/>
        </w:rPr>
        <w:t>שבהן</w:t>
      </w:r>
      <w:r>
        <w:rPr>
          <w:rFonts w:ascii="Calibri" w:hAnsi="Calibri" w:eastAsia="Calibri" w:cs="Calibri"/>
          <w:u w:val="single"/>
          <w:rtl w:val="true"/>
        </w:rPr>
        <w:t xml:space="preserve"> </w:t>
      </w:r>
      <w:r>
        <w:rPr>
          <w:rFonts w:ascii="Calibri" w:hAnsi="Calibri" w:cs="Miriam"/>
          <w:u w:val="single"/>
          <w:rtl w:val="true"/>
        </w:rPr>
        <w:t>באה</w:t>
      </w:r>
      <w:r>
        <w:rPr>
          <w:rFonts w:ascii="Calibri" w:hAnsi="Calibri" w:eastAsia="Calibri" w:cs="Calibri"/>
          <w:u w:val="single"/>
          <w:rtl w:val="true"/>
        </w:rPr>
        <w:t xml:space="preserve"> </w:t>
      </w:r>
      <w:r>
        <w:rPr>
          <w:rFonts w:ascii="Calibri" w:hAnsi="Calibri" w:cs="Miriam"/>
          <w:u w:val="single"/>
          <w:rtl w:val="true"/>
        </w:rPr>
        <w:t>לידי</w:t>
      </w:r>
      <w:r>
        <w:rPr>
          <w:rFonts w:ascii="Calibri" w:hAnsi="Calibri" w:eastAsia="Calibri" w:cs="Calibri"/>
          <w:u w:val="single"/>
          <w:rtl w:val="true"/>
        </w:rPr>
        <w:t xml:space="preserve"> </w:t>
      </w:r>
      <w:r>
        <w:rPr>
          <w:rFonts w:ascii="Calibri" w:hAnsi="Calibri" w:cs="Miriam"/>
          <w:u w:val="single"/>
          <w:rtl w:val="true"/>
        </w:rPr>
        <w:t>ביטוי</w:t>
      </w:r>
      <w:r>
        <w:rPr>
          <w:rFonts w:ascii="Calibri" w:hAnsi="Calibri" w:eastAsia="Calibri" w:cs="Calibri"/>
          <w:u w:val="single"/>
          <w:rtl w:val="true"/>
        </w:rPr>
        <w:t xml:space="preserve"> </w:t>
      </w:r>
      <w:r>
        <w:rPr>
          <w:rFonts w:ascii="Calibri" w:hAnsi="Calibri" w:cs="Miriam"/>
          <w:u w:val="single"/>
          <w:rtl w:val="true"/>
        </w:rPr>
        <w:t>החומרה</w:t>
      </w:r>
      <w:r>
        <w:rPr>
          <w:rFonts w:ascii="Calibri" w:hAnsi="Calibri" w:eastAsia="Calibri" w:cs="Calibri"/>
          <w:u w:val="single"/>
          <w:rtl w:val="true"/>
        </w:rPr>
        <w:t xml:space="preserve"> </w:t>
      </w:r>
      <w:r>
        <w:rPr>
          <w:rFonts w:ascii="Calibri" w:hAnsi="Calibri" w:cs="Miriam"/>
          <w:u w:val="single"/>
          <w:rtl w:val="true"/>
        </w:rPr>
        <w:t>המיוחדת</w:t>
      </w:r>
      <w:r>
        <w:rPr>
          <w:rFonts w:ascii="Calibri" w:hAnsi="Calibri" w:eastAsia="Calibri" w:cs="Calibri"/>
          <w:u w:val="single"/>
          <w:rtl w:val="true"/>
        </w:rPr>
        <w:t xml:space="preserve"> </w:t>
      </w:r>
      <w:r>
        <w:rPr>
          <w:rFonts w:ascii="Calibri" w:hAnsi="Calibri" w:cs="Miriam"/>
          <w:u w:val="single"/>
          <w:rtl w:val="true"/>
        </w:rPr>
        <w:t>שבעבירה</w:t>
      </w:r>
      <w:r>
        <w:rPr>
          <w:rFonts w:cs="Miriam" w:ascii="Calibri" w:hAnsi="Calibri"/>
          <w:u w:val="single"/>
          <w:rtl w:val="true"/>
        </w:rPr>
        <w:t xml:space="preserve">, </w:t>
      </w:r>
      <w:r>
        <w:rPr>
          <w:rFonts w:ascii="Calibri" w:hAnsi="Calibri" w:cs="Miriam"/>
          <w:u w:val="single"/>
          <w:rtl w:val="true"/>
        </w:rPr>
        <w:t>בין</w:t>
      </w:r>
      <w:r>
        <w:rPr>
          <w:rFonts w:ascii="Calibri" w:hAnsi="Calibri" w:eastAsia="Calibri" w:cs="Calibri"/>
          <w:u w:val="single"/>
          <w:rtl w:val="true"/>
        </w:rPr>
        <w:t xml:space="preserve"> </w:t>
      </w:r>
      <w:r>
        <w:rPr>
          <w:rFonts w:ascii="Calibri" w:hAnsi="Calibri" w:cs="Miriam"/>
          <w:u w:val="single"/>
          <w:rtl w:val="true"/>
        </w:rPr>
        <w:t>היתר</w:t>
      </w:r>
      <w:r>
        <w:rPr>
          <w:rFonts w:cs="Miriam" w:ascii="Calibri" w:hAnsi="Calibri"/>
          <w:u w:val="single"/>
          <w:rtl w:val="true"/>
        </w:rPr>
        <w:t xml:space="preserve">, </w:t>
      </w:r>
      <w:r>
        <w:rPr>
          <w:rFonts w:ascii="Calibri" w:hAnsi="Calibri" w:cs="Miriam"/>
          <w:u w:val="single"/>
          <w:rtl w:val="true"/>
        </w:rPr>
        <w:t>ייתן</w:t>
      </w:r>
      <w:r>
        <w:rPr>
          <w:rFonts w:ascii="Calibri" w:hAnsi="Calibri" w:eastAsia="Calibri" w:cs="Calibri"/>
          <w:u w:val="single"/>
          <w:rtl w:val="true"/>
        </w:rPr>
        <w:t xml:space="preserve"> </w:t>
      </w:r>
      <w:r>
        <w:rPr>
          <w:rFonts w:ascii="Calibri" w:hAnsi="Calibri" w:cs="Miriam"/>
          <w:u w:val="single"/>
          <w:rtl w:val="true"/>
        </w:rPr>
        <w:t>בית</w:t>
      </w:r>
      <w:r>
        <w:rPr>
          <w:rFonts w:ascii="Calibri" w:hAnsi="Calibri" w:eastAsia="Calibri" w:cs="Calibri"/>
          <w:u w:val="single"/>
          <w:rtl w:val="true"/>
        </w:rPr>
        <w:t xml:space="preserve"> </w:t>
      </w:r>
      <w:r>
        <w:rPr>
          <w:rFonts w:ascii="Calibri" w:hAnsi="Calibri" w:cs="Miriam"/>
          <w:u w:val="single"/>
          <w:rtl w:val="true"/>
        </w:rPr>
        <w:t>המשפט</w:t>
      </w:r>
      <w:r>
        <w:rPr>
          <w:rFonts w:ascii="Calibri" w:hAnsi="Calibri" w:eastAsia="Calibri" w:cs="Calibri"/>
          <w:u w:val="single"/>
          <w:rtl w:val="true"/>
        </w:rPr>
        <w:t xml:space="preserve"> </w:t>
      </w:r>
      <w:r>
        <w:rPr>
          <w:rFonts w:ascii="Calibri" w:hAnsi="Calibri" w:cs="Miriam"/>
          <w:u w:val="single"/>
          <w:rtl w:val="true"/>
        </w:rPr>
        <w:t>דעתו</w:t>
      </w:r>
      <w:r>
        <w:rPr>
          <w:rFonts w:ascii="Calibri" w:hAnsi="Calibri" w:eastAsia="Calibri" w:cs="Calibri"/>
          <w:u w:val="single"/>
          <w:rtl w:val="true"/>
        </w:rPr>
        <w:t xml:space="preserve"> </w:t>
      </w:r>
      <w:r>
        <w:rPr>
          <w:rFonts w:ascii="Calibri" w:hAnsi="Calibri" w:cs="Miriam"/>
          <w:u w:val="single"/>
          <w:rtl w:val="true"/>
        </w:rPr>
        <w:t>על</w:t>
      </w:r>
      <w:r>
        <w:rPr>
          <w:rFonts w:ascii="Calibri" w:hAnsi="Calibri" w:eastAsia="Calibri" w:cs="Calibri"/>
          <w:u w:val="single"/>
          <w:rtl w:val="true"/>
        </w:rPr>
        <w:t xml:space="preserve"> </w:t>
      </w:r>
      <w:r>
        <w:rPr>
          <w:rFonts w:ascii="Calibri" w:hAnsi="Calibri" w:cs="Miriam"/>
          <w:u w:val="single"/>
          <w:rtl w:val="true"/>
        </w:rPr>
        <w:t>סוג</w:t>
      </w:r>
      <w:r>
        <w:rPr>
          <w:rFonts w:ascii="Calibri" w:hAnsi="Calibri" w:eastAsia="Calibri" w:cs="Calibri"/>
          <w:u w:val="single"/>
          <w:rtl w:val="true"/>
        </w:rPr>
        <w:t xml:space="preserve"> </w:t>
      </w:r>
      <w:r>
        <w:rPr>
          <w:rFonts w:ascii="Calibri" w:hAnsi="Calibri" w:cs="Miriam"/>
          <w:u w:val="single"/>
          <w:rtl w:val="true"/>
        </w:rPr>
        <w:t>הנשק</w:t>
      </w:r>
      <w:r>
        <w:rPr>
          <w:rFonts w:ascii="Calibri" w:hAnsi="Calibri" w:eastAsia="Calibri" w:cs="Calibri"/>
          <w:u w:val="single"/>
          <w:rtl w:val="true"/>
        </w:rPr>
        <w:t xml:space="preserve"> </w:t>
      </w:r>
      <w:r>
        <w:rPr>
          <w:rFonts w:ascii="Calibri" w:hAnsi="Calibri" w:cs="Miriam"/>
          <w:u w:val="single"/>
          <w:rtl w:val="true"/>
        </w:rPr>
        <w:t>המוחזק</w:t>
      </w:r>
      <w:r>
        <w:rPr>
          <w:rFonts w:ascii="Calibri" w:hAnsi="Calibri" w:eastAsia="Calibri" w:cs="Calibri"/>
          <w:u w:val="single"/>
          <w:rtl w:val="true"/>
        </w:rPr>
        <w:t xml:space="preserve"> </w:t>
      </w:r>
      <w:r>
        <w:rPr>
          <w:rFonts w:ascii="Calibri" w:hAnsi="Calibri" w:cs="Miriam"/>
          <w:u w:val="single"/>
          <w:rtl w:val="true"/>
        </w:rPr>
        <w:t>שלא</w:t>
      </w:r>
      <w:r>
        <w:rPr>
          <w:rFonts w:ascii="Calibri" w:hAnsi="Calibri" w:eastAsia="Calibri" w:cs="Calibri"/>
          <w:u w:val="single"/>
          <w:rtl w:val="true"/>
        </w:rPr>
        <w:t xml:space="preserve"> </w:t>
      </w:r>
      <w:r>
        <w:rPr>
          <w:rFonts w:ascii="Calibri" w:hAnsi="Calibri" w:cs="Miriam"/>
          <w:u w:val="single"/>
          <w:rtl w:val="true"/>
        </w:rPr>
        <w:t>כדין</w:t>
      </w:r>
      <w:r>
        <w:rPr>
          <w:rFonts w:cs="Miriam" w:ascii="Calibri" w:hAnsi="Calibri"/>
          <w:u w:val="single"/>
          <w:rtl w:val="true"/>
        </w:rPr>
        <w:t xml:space="preserve">, </w:t>
      </w:r>
      <w:r>
        <w:rPr>
          <w:rFonts w:ascii="Calibri" w:hAnsi="Calibri" w:cs="Miriam"/>
          <w:u w:val="single"/>
          <w:rtl w:val="true"/>
        </w:rPr>
        <w:t>על</w:t>
      </w:r>
      <w:r>
        <w:rPr>
          <w:rFonts w:ascii="Calibri" w:hAnsi="Calibri" w:eastAsia="Calibri" w:cs="Calibri"/>
          <w:u w:val="single"/>
          <w:rtl w:val="true"/>
        </w:rPr>
        <w:t xml:space="preserve"> </w:t>
      </w:r>
      <w:r>
        <w:rPr>
          <w:rFonts w:ascii="Calibri" w:hAnsi="Calibri" w:cs="Miriam"/>
          <w:u w:val="single"/>
          <w:rtl w:val="true"/>
        </w:rPr>
        <w:t>כמותו</w:t>
      </w:r>
      <w:r>
        <w:rPr>
          <w:rFonts w:cs="Miriam" w:ascii="Calibri" w:hAnsi="Calibri"/>
          <w:u w:val="single"/>
          <w:rtl w:val="true"/>
        </w:rPr>
        <w:t xml:space="preserve">, </w:t>
      </w:r>
      <w:r>
        <w:rPr>
          <w:rFonts w:ascii="Calibri" w:hAnsi="Calibri" w:cs="Miriam"/>
          <w:u w:val="single"/>
          <w:rtl w:val="true"/>
        </w:rPr>
        <w:t>על</w:t>
      </w:r>
      <w:r>
        <w:rPr>
          <w:rFonts w:ascii="Calibri" w:hAnsi="Calibri" w:eastAsia="Calibri" w:cs="Calibri"/>
          <w:u w:val="single"/>
          <w:rtl w:val="true"/>
        </w:rPr>
        <w:t xml:space="preserve"> </w:t>
      </w:r>
      <w:r>
        <w:rPr>
          <w:rFonts w:ascii="Calibri" w:hAnsi="Calibri" w:cs="Miriam"/>
          <w:u w:val="single"/>
          <w:rtl w:val="true"/>
        </w:rPr>
        <w:t>התכלית</w:t>
      </w:r>
      <w:r>
        <w:rPr>
          <w:rFonts w:ascii="Calibri" w:hAnsi="Calibri" w:eastAsia="Calibri" w:cs="Calibri"/>
          <w:u w:val="single"/>
          <w:rtl w:val="true"/>
        </w:rPr>
        <w:t xml:space="preserve"> </w:t>
      </w:r>
      <w:r>
        <w:rPr>
          <w:rFonts w:ascii="Calibri" w:hAnsi="Calibri" w:cs="Miriam"/>
          <w:u w:val="single"/>
          <w:rtl w:val="true"/>
        </w:rPr>
        <w:t>שלשמה</w:t>
      </w:r>
      <w:r>
        <w:rPr>
          <w:rFonts w:ascii="Calibri" w:hAnsi="Calibri" w:eastAsia="Calibri" w:cs="Calibri"/>
          <w:u w:val="single"/>
          <w:rtl w:val="true"/>
        </w:rPr>
        <w:t xml:space="preserve"> </w:t>
      </w:r>
      <w:r>
        <w:rPr>
          <w:rFonts w:ascii="Calibri" w:hAnsi="Calibri" w:cs="Miriam"/>
          <w:u w:val="single"/>
          <w:rtl w:val="true"/>
        </w:rPr>
        <w:t>הוא</w:t>
      </w:r>
      <w:r>
        <w:rPr>
          <w:rFonts w:ascii="Calibri" w:hAnsi="Calibri" w:eastAsia="Calibri" w:cs="Calibri"/>
          <w:u w:val="single"/>
          <w:rtl w:val="true"/>
        </w:rPr>
        <w:t xml:space="preserve"> </w:t>
      </w:r>
      <w:r>
        <w:rPr>
          <w:rFonts w:ascii="Calibri" w:hAnsi="Calibri" w:cs="Miriam"/>
          <w:u w:val="single"/>
          <w:rtl w:val="true"/>
        </w:rPr>
        <w:t>הוחזק</w:t>
      </w:r>
      <w:r>
        <w:rPr>
          <w:rFonts w:ascii="Calibri" w:hAnsi="Calibri" w:eastAsia="Calibri" w:cs="Calibri"/>
          <w:u w:val="single"/>
          <w:rtl w:val="true"/>
        </w:rPr>
        <w:t xml:space="preserve"> </w:t>
      </w:r>
      <w:r>
        <w:rPr>
          <w:rFonts w:ascii="Calibri" w:hAnsi="Calibri" w:cs="Miriam"/>
          <w:u w:val="single"/>
          <w:rtl w:val="true"/>
        </w:rPr>
        <w:t>ועל</w:t>
      </w:r>
      <w:r>
        <w:rPr>
          <w:rFonts w:ascii="Calibri" w:hAnsi="Calibri" w:eastAsia="Calibri" w:cs="Calibri"/>
          <w:u w:val="single"/>
          <w:rtl w:val="true"/>
        </w:rPr>
        <w:t xml:space="preserve"> </w:t>
      </w:r>
      <w:r>
        <w:rPr>
          <w:rFonts w:ascii="Calibri" w:hAnsi="Calibri" w:cs="Miriam"/>
          <w:u w:val="single"/>
          <w:rtl w:val="true"/>
        </w:rPr>
        <w:t>הסכנה</w:t>
      </w:r>
      <w:r>
        <w:rPr>
          <w:rFonts w:ascii="Calibri" w:hAnsi="Calibri" w:eastAsia="Calibri" w:cs="Calibri"/>
          <w:u w:val="single"/>
          <w:rtl w:val="true"/>
        </w:rPr>
        <w:t xml:space="preserve"> </w:t>
      </w:r>
      <w:r>
        <w:rPr>
          <w:rFonts w:ascii="Calibri" w:hAnsi="Calibri" w:cs="Miriam"/>
          <w:u w:val="single"/>
          <w:rtl w:val="true"/>
        </w:rPr>
        <w:t>המוחשית</w:t>
      </w:r>
      <w:r>
        <w:rPr>
          <w:rFonts w:ascii="Calibri" w:hAnsi="Calibri" w:eastAsia="Calibri" w:cs="Calibri"/>
          <w:u w:val="single"/>
          <w:rtl w:val="true"/>
        </w:rPr>
        <w:t xml:space="preserve"> </w:t>
      </w:r>
      <w:r>
        <w:rPr>
          <w:rFonts w:ascii="Calibri" w:hAnsi="Calibri" w:cs="Miriam"/>
          <w:u w:val="single"/>
          <w:rtl w:val="true"/>
        </w:rPr>
        <w:t>שייעשה</w:t>
      </w:r>
      <w:r>
        <w:rPr>
          <w:rFonts w:ascii="Calibri" w:hAnsi="Calibri" w:eastAsia="Calibri" w:cs="Calibri"/>
          <w:u w:val="single"/>
          <w:rtl w:val="true"/>
        </w:rPr>
        <w:t xml:space="preserve"> </w:t>
      </w:r>
      <w:r>
        <w:rPr>
          <w:rFonts w:ascii="Calibri" w:hAnsi="Calibri" w:cs="Miriam"/>
          <w:u w:val="single"/>
          <w:rtl w:val="true"/>
        </w:rPr>
        <w:t>בו</w:t>
      </w:r>
      <w:r>
        <w:rPr>
          <w:rFonts w:ascii="Calibri" w:hAnsi="Calibri" w:eastAsia="Calibri" w:cs="Calibri"/>
          <w:u w:val="single"/>
          <w:rtl w:val="true"/>
        </w:rPr>
        <w:t xml:space="preserve"> </w:t>
      </w:r>
      <w:r>
        <w:rPr>
          <w:rFonts w:ascii="Calibri" w:hAnsi="Calibri" w:cs="Miriam"/>
          <w:u w:val="single"/>
          <w:rtl w:val="true"/>
        </w:rPr>
        <w:t>שימוש</w:t>
      </w:r>
      <w:r>
        <w:rPr>
          <w:rFonts w:cs="Miriam" w:ascii="Calibri" w:hAnsi="Calibri"/>
          <w:rtl w:val="true"/>
        </w:rPr>
        <w:t>..."</w:t>
      </w:r>
      <w:r>
        <w:rPr>
          <w:rFonts w:cs="Miriam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ההדגשה אינה במקור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>.)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both"/>
        <w:rPr>
          <w:rFonts w:ascii="Calibri" w:hAnsi="Calibri" w:cs="Miriam"/>
          <w:sz w:val="34"/>
          <w:szCs w:val="34"/>
        </w:rPr>
      </w:pPr>
      <w:r>
        <w:rPr>
          <w:rFonts w:cs="Miriam" w:ascii="Calibri" w:hAnsi="Calibri"/>
          <w:sz w:val="34"/>
          <w:szCs w:val="3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13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הערכים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</w:p>
    <w:p>
      <w:pPr>
        <w:pStyle w:val="Normal"/>
        <w:spacing w:lineRule="auto" w:line="360"/>
        <w:ind w:hanging="720" w:start="720"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להפעלתם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rtl w:val="true"/>
        </w:rPr>
        <w:softHyphen/>
        <w:tab/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</w:rPr>
        <w:t>14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העונש המרבי הקבוע בצידה של החזקת נשק לפי </w:t>
      </w:r>
      <w:hyperlink r:id="rId4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</w:t>
      </w:r>
      <w:r>
        <w:rPr>
          <w:rFonts w:cs="David" w:ascii="David" w:hAnsi="David"/>
          <w:rtl w:val="true"/>
        </w:rPr>
        <w:t xml:space="preserve">- </w:t>
      </w:r>
      <w:hyperlink r:id="rId49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3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5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הוא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הצדדים החלוקים בשאלת מתחם העונש ההולם את המקרה הנדון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הפנו לפסקי דין התומכים בעמדתם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זה בכה וזו בכה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כל אחד מהם הפנה למקרים חמורים יותר וחמורים פחות מהעניין הנדון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 לאבחן את פסקי הדין אליהם הפנה הצד שכנגד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חלקם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51" w:start="651" w:end="0"/>
        <w:jc w:val="both"/>
        <w:rPr/>
      </w:pPr>
      <w:r>
        <w:rPr>
          <w:b/>
          <w:bCs/>
        </w:rPr>
        <w:t>15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כדלהלן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sz w:val="14"/>
          <w:szCs w:val="14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651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ב</w:t>
      </w:r>
      <w:hyperlink r:id="rId5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2406/16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יונגר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29/9/16</w:t>
      </w:r>
      <w:r>
        <w:rPr>
          <w:rtl w:val="true"/>
        </w:rPr>
        <w:t xml:space="preserve">), </w:t>
      </w:r>
      <w:r>
        <w:rPr>
          <w:rtl w:val="true"/>
        </w:rPr>
        <w:t>נדח</w:t>
      </w:r>
      <w:r>
        <w:rPr>
          <w:rtl w:val="true"/>
        </w:rPr>
        <w:t>ת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בגלגול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אלחוטי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למשרדו</w:t>
      </w:r>
      <w:r>
        <w:rPr>
          <w:rtl w:val="true"/>
        </w:rPr>
        <w:t xml:space="preserve">,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ספורט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tl w:val="true"/>
        </w:rPr>
        <w:t xml:space="preserve">.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. 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קנביס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,  </w:t>
      </w:r>
      <w:r>
        <w:rPr>
          <w:b/>
          <w:b/>
          <w:bCs/>
          <w:rtl w:val="true"/>
        </w:rPr>
        <w:t>והטיל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 (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2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22300-11-15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יונגר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).    </w:t>
      </w:r>
    </w:p>
    <w:p>
      <w:pPr>
        <w:pStyle w:val="P00"/>
        <w:tabs>
          <w:tab w:val="clear" w:pos="2835"/>
          <w:tab w:val="left" w:pos="624" w:leader="none"/>
          <w:tab w:val="left" w:pos="1021" w:leader="none"/>
          <w:tab w:val="left" w:pos="1360" w:leader="none"/>
          <w:tab w:val="left" w:pos="1474" w:leader="none"/>
          <w:tab w:val="left" w:pos="1928" w:leader="none"/>
          <w:tab w:val="left" w:pos="2381" w:leader="none"/>
          <w:tab w:val="right" w:pos="6259" w:leader="dot"/>
        </w:tabs>
        <w:spacing w:lineRule="auto" w:line="360"/>
        <w:ind w:start="651" w:end="0"/>
        <w:jc w:val="both"/>
        <w:rPr>
          <w:rFonts w:ascii="David" w:hAnsi="David" w:cs="David"/>
          <w:b/>
          <w:bCs/>
          <w:sz w:val="6"/>
          <w:szCs w:val="6"/>
        </w:rPr>
      </w:pPr>
      <w:r>
        <w:rPr>
          <w:rFonts w:cs="David" w:ascii="David" w:hAnsi="David"/>
          <w:b/>
          <w:bCs/>
          <w:sz w:val="6"/>
          <w:szCs w:val="6"/>
          <w:rtl w:val="true"/>
        </w:rPr>
      </w:r>
    </w:p>
    <w:p>
      <w:pPr>
        <w:pStyle w:val="P00"/>
        <w:tabs>
          <w:tab w:val="clear" w:pos="2835"/>
          <w:tab w:val="left" w:pos="624" w:leader="none"/>
          <w:tab w:val="left" w:pos="1021" w:leader="none"/>
          <w:tab w:val="left" w:pos="1360" w:leader="none"/>
          <w:tab w:val="left" w:pos="1474" w:leader="none"/>
          <w:tab w:val="left" w:pos="1928" w:leader="none"/>
          <w:tab w:val="left" w:pos="2381" w:leader="none"/>
          <w:tab w:val="right" w:pos="6259" w:leader="dot"/>
        </w:tabs>
        <w:spacing w:lineRule="auto" w:line="360"/>
        <w:ind w:start="651" w:end="0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5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21139-04-17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יעקב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3/12/18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מפי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ביתן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הורשע נאשם על יסוד הודייתו במסגרת הסדר טיעון בהחזקת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בארבע </w:t>
      </w:r>
      <w:r>
        <w:rPr>
          <w:rFonts w:ascii="David" w:hAnsi="David" w:cs="David"/>
          <w:sz w:val="24"/>
          <w:sz w:val="24"/>
          <w:szCs w:val="24"/>
          <w:rtl w:val="true"/>
        </w:rPr>
        <w:t>עבירות איומים ובעבירה של הפרעה לשוטר בעת מילוי תפקידו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שיוחסו לו בשלושה תיקים פליליים שצירף לתיק העיקרי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באותו עניין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רקע סכסוך פעיל עם אחר  החזיק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צעיר ללא הרשעות קודמות</w:t>
      </w:r>
      <w:r>
        <w:rPr>
          <w:rFonts w:cs="David" w:ascii="David" w:hAnsi="David"/>
          <w:sz w:val="24"/>
          <w:szCs w:val="24"/>
          <w:rtl w:val="true"/>
        </w:rPr>
        <w:t xml:space="preserve">,  </w:t>
      </w:r>
      <w:r>
        <w:rPr>
          <w:rFonts w:ascii="David" w:hAnsi="David" w:cs="David"/>
          <w:sz w:val="24"/>
          <w:sz w:val="24"/>
          <w:szCs w:val="24"/>
          <w:rtl w:val="true"/>
        </w:rPr>
        <w:t>במטען צינור מאולתר בעל פתיל השהייה –שבכוחו להמית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ומסרו לידי סוכן משטרתי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המחוזי קבע כי מתחם העונש ההולם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נע בין </w:t>
      </w:r>
      <w:r>
        <w:rPr>
          <w:rFonts w:cs="David" w:ascii="David" w:hAnsi="David"/>
          <w:b/>
          <w:bCs/>
          <w:sz w:val="24"/>
          <w:szCs w:val="24"/>
        </w:rPr>
        <w:t>18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- </w:t>
      </w:r>
      <w:r>
        <w:rPr>
          <w:rFonts w:cs="David" w:ascii="David" w:hAnsi="David"/>
          <w:b/>
          <w:bCs/>
          <w:sz w:val="24"/>
          <w:szCs w:val="24"/>
        </w:rPr>
        <w:t>36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חודשי מאסר וגזר על הנאשם </w:t>
      </w:r>
      <w:r>
        <w:rPr>
          <w:rFonts w:cs="David" w:ascii="David" w:hAnsi="David"/>
          <w:b/>
          <w:bCs/>
          <w:sz w:val="24"/>
          <w:szCs w:val="24"/>
        </w:rPr>
        <w:t>32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לצד עונשים נילווים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דחה את ערעורו של הנאשם על גזר הדין ב</w:t>
      </w:r>
      <w:hyperlink r:id="rId5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113/19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יעקב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21/7/19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מפי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הנדל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P00"/>
        <w:tabs>
          <w:tab w:val="clear" w:pos="2835"/>
          <w:tab w:val="left" w:pos="624" w:leader="none"/>
          <w:tab w:val="left" w:pos="1021" w:leader="none"/>
          <w:tab w:val="left" w:pos="1360" w:leader="none"/>
          <w:tab w:val="left" w:pos="1474" w:leader="none"/>
          <w:tab w:val="left" w:pos="1928" w:leader="none"/>
          <w:tab w:val="left" w:pos="2381" w:leader="none"/>
          <w:tab w:val="right" w:pos="6259" w:leader="dot"/>
        </w:tabs>
        <w:spacing w:lineRule="auto" w:line="360"/>
        <w:ind w:start="651" w:end="0"/>
        <w:jc w:val="both"/>
        <w:rPr>
          <w:rFonts w:ascii="David" w:hAnsi="David" w:cs="David"/>
          <w:sz w:val="18"/>
          <w:szCs w:val="18"/>
        </w:rPr>
      </w:pPr>
      <w:r>
        <w:rPr>
          <w:rFonts w:eastAsia="David" w:cs="David" w:ascii="David" w:hAnsi="David"/>
          <w:sz w:val="18"/>
          <w:szCs w:val="18"/>
          <w:highlight w:val="green"/>
          <w:rtl w:val="true"/>
        </w:rPr>
        <w:t xml:space="preserve"> </w:t>
      </w:r>
    </w:p>
    <w:p>
      <w:pPr>
        <w:pStyle w:val="Normal"/>
        <w:spacing w:lineRule="auto" w:line="360"/>
        <w:ind w:hanging="651" w:start="651" w:end="0"/>
        <w:jc w:val="both"/>
        <w:rPr/>
      </w:pPr>
      <w:r>
        <w:rPr>
          <w:b/>
          <w:bCs/>
        </w:rPr>
        <w:t>1</w:t>
      </w:r>
      <w:r>
        <w:rPr>
          <w:b/>
          <w:bCs/>
        </w:rPr>
        <w:t>6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p>
      <w:pPr>
        <w:pStyle w:val="Normal"/>
        <w:spacing w:lineRule="auto" w:line="360"/>
        <w:ind w:start="651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ב</w:t>
      </w:r>
      <w:hyperlink r:id="rId5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49995-09-17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4/11/18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בש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ייצר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מטען חבלה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אותו הסתיר בתא המטען של רכבו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ונסע</w:t>
      </w:r>
    </w:p>
    <w:p>
      <w:pPr>
        <w:pStyle w:val="Normal"/>
        <w:spacing w:lineRule="auto" w:line="360"/>
        <w:ind w:start="651" w:end="0"/>
        <w:jc w:val="both"/>
        <w:rPr>
          <w:rFonts w:ascii="David" w:hAnsi="David" w:cs="David"/>
          <w:sz w:val="20"/>
          <w:szCs w:val="20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start="651" w:end="0"/>
        <w:jc w:val="both"/>
        <w:rPr/>
      </w:pPr>
      <w:r>
        <w:rPr>
          <w:rFonts w:ascii="David" w:hAnsi="David"/>
          <w:rtl w:val="true"/>
        </w:rPr>
        <w:t>עם המטען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כשבדלת הנהג החזיק שתי סכינים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מיכל גז פלפל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שמונה כדורי רובה ושוקר חשמלי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בהתחשב בכך שלא נמצא חומר נפץ בשרידי המטען ובכך שהנזק העשוי להיגרם מהמטען כפוף לקרבה למוקד ההפעלה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קבע בית המשפט המחוזי כי פוטנציאל הנזק הגלום במטען נמוך ביחס לכלי נשק 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כן נקבע כי </w:t>
      </w:r>
      <w:r>
        <w:rPr>
          <w:rFonts w:ascii="David" w:hAnsi="David"/>
          <w:b/>
          <w:b/>
          <w:bCs/>
          <w:rtl w:val="true"/>
        </w:rPr>
        <w:t xml:space="preserve">מתחם הענישה הכולל נע בין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לריצוי בעבודות שירות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לבין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ונגזרו על הנאשם 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לריצוי בעבודות שירות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ועונשי נילווים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651" w:end="0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651" w:end="0"/>
        <w:jc w:val="both"/>
        <w:rPr>
          <w:rFonts w:ascii="Calibri" w:hAnsi="Calibri" w:cs="Calibri"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ב</w:t>
      </w:r>
      <w:hyperlink r:id="rId5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34487-02-17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27/3/17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פורת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כשמתחת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מסוג </w:t>
      </w:r>
      <w:r>
        <w:rPr>
          <w:rFonts w:cs="Calibri" w:ascii="Calibri" w:hAnsi="Calibri"/>
        </w:rPr>
        <w:t>FN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 מתחם עונש הולם הנע</w:t>
      </w:r>
      <w:r>
        <w:rPr>
          <w:rFonts w:ascii="Calibri" w:hAnsi="Calibri" w:cs="Calibri"/>
          <w:b/>
          <w:b/>
          <w:bCs/>
          <w:rtl w:val="true"/>
        </w:rPr>
        <w:t xml:space="preserve"> בין </w:t>
      </w:r>
      <w:r>
        <w:rPr>
          <w:rFonts w:cs="Calibri" w:ascii="Calibri" w:hAnsi="Calibri"/>
          <w:b/>
          <w:bCs/>
        </w:rPr>
        <w:t>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 xml:space="preserve">חודשים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בעבודות שירות</w:t>
      </w:r>
      <w:r>
        <w:rPr>
          <w:rFonts w:ascii="Calibri" w:hAnsi="Calibri" w:cs="Calibri"/>
          <w:b/>
          <w:b/>
          <w:bCs/>
          <w:rtl w:val="true"/>
        </w:rPr>
        <w:t xml:space="preserve"> לבין </w:t>
      </w:r>
      <w:r>
        <w:rPr>
          <w:rFonts w:cs="Calibri" w:ascii="Calibri" w:hAnsi="Calibri"/>
          <w:b/>
          <w:bCs/>
        </w:rPr>
        <w:t>18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 מאסר בפועל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בהתחשב בעברו הנקי ובהמלצת שירות המבחן בעניינו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הושתו על 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 מאסר לריצוי בעבודות שירות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rtl w:val="true"/>
        </w:rPr>
        <w:t>צו מבחן ועונשים נלווים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firstLine="651" w:end="0"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start="651" w:end="0"/>
        <w:jc w:val="both"/>
        <w:rPr>
          <w:rFonts w:ascii="Calibri" w:hAnsi="Calibri" w:cs="Calibri"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ב</w:t>
      </w:r>
      <w:hyperlink r:id="rId5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8338-12-13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זידאן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18/9/14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טובי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ind w:firstLine="651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start="651" w:end="0"/>
        <w:jc w:val="both"/>
        <w:rPr>
          <w:rFonts w:ascii="Calibri" w:hAnsi="Calibri" w:cs="Calibri"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ב</w:t>
      </w:r>
      <w:hyperlink r:id="rId5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נצ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34813-07-10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חילף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27/10/10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כתילי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בפשע</w:t>
      </w:r>
      <w:r>
        <w:rPr>
          <w:rtl w:val="true"/>
        </w:rPr>
        <w:t xml:space="preserve">.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,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 xml:space="preserve">, </w:t>
      </w:r>
      <w:r>
        <w:rPr>
          <w:rtl w:val="true"/>
        </w:rPr>
        <w:t>ררנ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גומי</w:t>
      </w:r>
      <w:r>
        <w:rPr>
          <w:rtl w:val="true"/>
        </w:rPr>
        <w:t xml:space="preserve">),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Fonts w:cs="Times New Roman"/>
          <w:rtl w:val="true"/>
        </w:rPr>
        <w:t xml:space="preserve"> </w:t>
      </w:r>
      <w:r>
        <w:rPr/>
        <w:t>M16</w:t>
      </w:r>
      <w:r>
        <w:rPr/>
        <w:t>, 30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לניקוי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צהל</w:t>
      </w:r>
      <w:r>
        <w:rPr>
          <w:rtl w:val="true"/>
        </w:rPr>
        <w:t xml:space="preserve">.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להסתירם</w:t>
      </w:r>
      <w:r>
        <w:rPr>
          <w:rtl w:val="true"/>
        </w:rPr>
        <w:t xml:space="preserve">,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מגוריהם</w:t>
      </w:r>
      <w:r>
        <w:rPr>
          <w:rtl w:val="true"/>
        </w:rPr>
        <w:t xml:space="preserve">, </w:t>
      </w:r>
      <w:r>
        <w:rPr>
          <w:rtl w:val="true"/>
        </w:rPr>
        <w:t>חפרו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הפריטים</w:t>
      </w:r>
      <w:r>
        <w:rPr>
          <w:rtl w:val="true"/>
        </w:rPr>
        <w:t xml:space="preserve">.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</w:t>
      </w:r>
      <w:r>
        <w:rPr>
          <w:rtl w:val="true"/>
        </w:rPr>
        <w:t>י</w:t>
      </w:r>
      <w:r>
        <w:rPr>
          <w:rtl w:val="true"/>
        </w:rPr>
        <w:t>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והודייתו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651" w:end="0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5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8689-01-09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סרחאן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2/11/09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)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בטייבה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פציעת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18"/>
          <w:szCs w:val="18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5713/10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אקרמן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1/3/11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דנציגר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לבנת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ואצבע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הפחית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בהתחשב בעברו החיובי והנורמטיבי ותרומתו למדינה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בשירות הצבאי ופעילות התנדבות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בנטילת האחריות המלאה והבעת החרטה ובהמלצת שירות המבחן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וכן בנסיבות ביצוע העבירה תחת השפעה של אדם אחר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</w:t>
      </w:r>
      <w:r>
        <w:rPr>
          <w:b/>
          <w:bCs/>
        </w:rPr>
        <w:t>7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;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לדוגמא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2"/>
          <w:szCs w:val="22"/>
        </w:rPr>
      </w:pPr>
      <w:r>
        <w:rPr>
          <w:rFonts w:ascii="David" w:hAnsi="David"/>
          <w:rtl w:val="true"/>
        </w:rPr>
        <w:t>ב</w:t>
      </w:r>
      <w:hyperlink r:id="rId61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5431/21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בדרנה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11/8/21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דחה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אלרון בקשת רשות ערעור </w:t>
      </w:r>
      <w:r>
        <w:rPr>
          <w:rFonts w:ascii="David" w:hAnsi="David"/>
          <w:rtl w:val="true"/>
        </w:rPr>
        <w:t xml:space="preserve">של נאשם שהורשע על פי הודאתו בעבירה של רכישה והחזקה של נשק שלא כדין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מטען חבלה מאולתר במשקל </w:t>
      </w:r>
      <w:r>
        <w:rPr>
          <w:rFonts w:cs="David" w:ascii="David" w:hAnsi="David"/>
        </w:rPr>
        <w:t>74.1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חומר נפץ הכולל פתילים להשהיה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זמין לשימוש מידי ומסוגל להזיק לאדם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ועונשים נלווים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6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8017/20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פאדי גריפאת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22/12/20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נתקבל ערעור המדינה בעניינו של 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הורשע על פי הודייתו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הובלה ונשיאה של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שעה שהוביל  ברכב ונשא ביחד עם אחר קופסא ובתוכה מטען חבלה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ונידון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</w:t>
      </w:r>
      <w:r>
        <w:rPr>
          <w:rFonts w:ascii="David" w:hAnsi="David"/>
          <w:rtl w:val="true"/>
        </w:rPr>
        <w:t>ועונשים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העליון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פוגלמן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גזר על הנאשם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בעל עבר פלילי בעבירות חמורות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ביצע את העבירה בעודו מרצה מאסר בעבודות שירות בתיק אחר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והורה כי מתוך תקופה זו ירוצו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במצטבר לעונש המאסר שהוטל עליו בגין הפקעת עבודות השירות בהליך האחר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both"/>
        <w:rPr>
          <w:rFonts w:ascii="David" w:hAnsi="David" w:cs="David"/>
          <w:sz w:val="8"/>
          <w:szCs w:val="8"/>
        </w:rPr>
      </w:pPr>
      <w:r>
        <w:rPr>
          <w:rFonts w:cs="David" w:ascii="David" w:hAnsi="David"/>
          <w:sz w:val="8"/>
          <w:szCs w:val="8"/>
          <w:rtl w:val="true"/>
        </w:rPr>
      </w:r>
    </w:p>
    <w:p>
      <w:pPr>
        <w:pStyle w:val="Normal"/>
        <w:ind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ind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</w:t>
      </w:r>
      <w:r>
        <w:rPr>
          <w:b/>
          <w:bCs/>
        </w:rPr>
        <w:t>8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,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לקביעתו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707"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spacing w:lineRule="auto" w:line="360"/>
        <w:ind w:hanging="13"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יזימה</w:t>
      </w:r>
      <w:r>
        <w:rPr>
          <w:rtl w:val="true"/>
        </w:rPr>
        <w:t xml:space="preserve">, </w:t>
      </w:r>
      <w:r>
        <w:rPr>
          <w:rtl w:val="true"/>
        </w:rPr>
        <w:t>שפוטנציאל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p>
      <w:pPr>
        <w:pStyle w:val="Normal"/>
        <w:ind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</w:rPr>
        <w:t>19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שאינן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בביצוע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tl w:val="true"/>
        </w:rPr>
        <w:t xml:space="preserve">, </w:t>
      </w:r>
      <w:r>
        <w:rPr>
          <w:rtl w:val="true"/>
        </w:rPr>
        <w:t>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שניטשה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0"/>
          <w:szCs w:val="20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ייזקפו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והצער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סנגורו</w:t>
      </w:r>
      <w:r>
        <w:rPr>
          <w:rtl w:val="true"/>
        </w:rPr>
        <w:t xml:space="preserve">.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תיכון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 xml:space="preserve">,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הריצוף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וכמוכר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כטכנאי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טלפונים</w:t>
      </w:r>
      <w:r>
        <w:rPr>
          <w:rtl w:val="true"/>
        </w:rPr>
        <w:t xml:space="preserve">,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התקשתה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ובתסקיר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מושרשים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>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tl w:val="true"/>
        </w:rPr>
        <w:t xml:space="preserve">,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אזוק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tl w:val="true"/>
        </w:rPr>
        <w:t xml:space="preserve">, </w:t>
      </w:r>
      <w:r>
        <w:rPr>
          <w:rtl w:val="true"/>
        </w:rPr>
        <w:t>חרטתו</w:t>
      </w:r>
      <w:r>
        <w:rPr>
          <w:rtl w:val="true"/>
        </w:rPr>
        <w:t xml:space="preserve">, </w:t>
      </w:r>
      <w:r>
        <w:rPr>
          <w:rtl w:val="true"/>
        </w:rPr>
        <w:t>הבושה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 xml:space="preserve">, </w:t>
      </w:r>
      <w:r>
        <w:rPr>
          <w:rtl w:val="true"/>
        </w:rPr>
        <w:t>והערכתו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משטרת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מתנגדת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להעסקתו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 xml:space="preserve">".    </w:t>
      </w:r>
    </w:p>
    <w:p>
      <w:pPr>
        <w:pStyle w:val="Normal"/>
        <w:spacing w:lineRule="auto" w:line="360"/>
        <w:ind w:start="720" w:end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המיוחדות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הנדון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אזוק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עינוי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24/6/21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לעניין </w:t>
      </w:r>
      <w:r>
        <w:rPr>
          <w:rFonts w:ascii="David" w:hAnsi="David"/>
          <w:rtl w:val="true"/>
        </w:rPr>
        <w:t>סעד של הקלה בעונש בשל מחדלי חקירה</w:t>
      </w:r>
      <w:r>
        <w:rPr>
          <w:rFonts w:ascii="David" w:hAnsi="David"/>
          <w:rtl w:val="true"/>
        </w:rPr>
        <w:t xml:space="preserve"> וטענות של הגנה מן הצדק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השוו</w:t>
      </w:r>
      <w:r>
        <w:rPr>
          <w:rFonts w:ascii="David" w:hAnsi="David"/>
          <w:rtl w:val="true"/>
        </w:rPr>
        <w:t xml:space="preserve"> </w:t>
      </w:r>
      <w:hyperlink r:id="rId64">
        <w:bookmarkStart w:id="9" w:name="casename_body"/>
        <w:bookmarkEnd w:id="9"/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1224/07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אברהם בלדב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color w:val="1F497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10/2/10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כבוד 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פרוקצ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יה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 xml:space="preserve">ראו גם </w:t>
      </w:r>
      <w:hyperlink r:id="rId6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4855/02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ר איתמר בורוביץ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31/3/05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מצא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לוי וגרוניס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Style14"/>
        <w:spacing w:lineRule="auto" w:line="360"/>
        <w:ind w:hanging="0" w:start="1440" w:end="0"/>
        <w:jc w:val="both"/>
        <w:rPr>
          <w:rFonts w:ascii="Calibri" w:hAnsi="Calibri" w:cs="David"/>
          <w:sz w:val="24"/>
          <w:lang w:eastAsia="en-US"/>
        </w:rPr>
      </w:pPr>
      <w:r>
        <w:rPr>
          <w:rtl w:val="true"/>
        </w:rPr>
        <w:t>"</w:t>
      </w:r>
      <w:r>
        <w:rPr>
          <w:rFonts w:ascii="Miriam" w:hAnsi="Miriam" w:cs="Miriam"/>
          <w:b/>
          <w:b/>
          <w:bCs/>
          <w:sz w:val="28"/>
          <w:sz w:val="28"/>
          <w:rtl w:val="true"/>
        </w:rPr>
        <w:t>גם משהשקפנו במבט</w:t>
      </w:r>
      <w:r>
        <w:rPr>
          <w:rFonts w:cs="Miriam" w:ascii="Miriam" w:hAnsi="Miriam"/>
          <w:b/>
          <w:bCs/>
          <w:sz w:val="28"/>
          <w:rtl w:val="true"/>
        </w:rPr>
        <w:t>-</w:t>
      </w:r>
      <w:r>
        <w:rPr>
          <w:rFonts w:ascii="Miriam" w:hAnsi="Miriam" w:cs="Miriam"/>
          <w:b/>
          <w:b/>
          <w:bCs/>
          <w:sz w:val="28"/>
          <w:sz w:val="28"/>
          <w:rtl w:val="true"/>
        </w:rPr>
        <w:t>על על הפגמים שנפלו בהליכי החקירה ובראיונות כמכלול</w:t>
      </w:r>
      <w:r>
        <w:rPr>
          <w:rFonts w:ascii="Miriam" w:hAnsi="Miriam" w:cs="Miriam"/>
          <w:sz w:val="28"/>
          <w:sz w:val="28"/>
          <w:rtl w:val="true"/>
        </w:rPr>
        <w:t xml:space="preserve"> – בחינה שאף אותה יש לערוך במסגרת הדיון בטענת ההגנה מן הצדק – נחה דעתנו כי לא הייתה בניהולו של ההליך הפלילי בעניינם של המערערים משום פגיעה חריפה בתחושת הצדק וההגינות המצדיקה את ביטולו של ההליך או את זיכוים מחמת הגנה </w:t>
      </w:r>
      <w:r>
        <w:rPr>
          <w:rFonts w:ascii="Calibri" w:hAnsi="Calibri" w:cs="David"/>
          <w:sz w:val="24"/>
          <w:sz w:val="24"/>
          <w:rtl w:val="true"/>
          <w:lang w:eastAsia="en-US"/>
        </w:rPr>
        <w:t>מן</w:t>
      </w:r>
      <w:r>
        <w:rPr>
          <w:rFonts w:ascii="Calibri" w:hAnsi="Calibri" w:eastAsia="Calibri" w:cs="Calibri"/>
          <w:sz w:val="24"/>
          <w:sz w:val="24"/>
          <w:rtl w:val="true"/>
          <w:lang w:eastAsia="en-US"/>
        </w:rPr>
        <w:t xml:space="preserve"> </w:t>
      </w:r>
      <w:r>
        <w:rPr>
          <w:rFonts w:ascii="Calibri" w:hAnsi="Calibri" w:cs="David"/>
          <w:sz w:val="24"/>
          <w:sz w:val="24"/>
          <w:rtl w:val="true"/>
          <w:lang w:eastAsia="en-US"/>
        </w:rPr>
        <w:t>הצדק</w:t>
      </w:r>
      <w:r>
        <w:rPr>
          <w:rFonts w:ascii="Calibri" w:hAnsi="Calibri" w:eastAsia="Calibri" w:cs="Calibri"/>
          <w:sz w:val="24"/>
          <w:sz w:val="24"/>
          <w:rtl w:val="true"/>
          <w:lang w:eastAsia="en-US"/>
        </w:rPr>
        <w:t xml:space="preserve"> </w:t>
      </w:r>
      <w:r>
        <w:rPr>
          <w:rFonts w:cs="Miriam" w:ascii="Miriam" w:hAnsi="Miriam"/>
          <w:sz w:val="28"/>
          <w:rtl w:val="true"/>
        </w:rPr>
        <w:t>(</w:t>
      </w:r>
      <w:r>
        <w:rPr>
          <w:rFonts w:ascii="Miriam" w:hAnsi="Miriam" w:cs="Miriam"/>
          <w:b/>
          <w:b/>
          <w:bCs/>
          <w:sz w:val="28"/>
          <w:sz w:val="28"/>
          <w:rtl w:val="true"/>
        </w:rPr>
        <w:t>להבדיל</w:t>
      </w:r>
      <w:r>
        <w:rPr>
          <w:rFonts w:cs="Miriam" w:ascii="Miriam" w:hAnsi="Miriam"/>
          <w:b/>
          <w:bCs/>
          <w:sz w:val="28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8"/>
          <w:sz w:val="28"/>
          <w:rtl w:val="true"/>
        </w:rPr>
        <w:t>אולי</w:t>
      </w:r>
      <w:r>
        <w:rPr>
          <w:rFonts w:cs="Miriam" w:ascii="Miriam" w:hAnsi="Miriam"/>
          <w:b/>
          <w:bCs/>
          <w:sz w:val="28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8"/>
          <w:sz w:val="28"/>
          <w:rtl w:val="true"/>
        </w:rPr>
        <w:t>מסעד של הקלה בעונש</w:t>
      </w:r>
      <w:r>
        <w:rPr>
          <w:rFonts w:cs="Miriam" w:ascii="Miriam" w:hAnsi="Miriam"/>
          <w:b/>
          <w:bCs/>
          <w:sz w:val="28"/>
          <w:rtl w:val="true"/>
        </w:rPr>
        <w:t>)".</w:t>
      </w:r>
      <w:r>
        <w:rPr>
          <w:rFonts w:cs="David" w:ascii="Calibri" w:hAnsi="Calibri"/>
          <w:sz w:val="24"/>
          <w:rtl w:val="true"/>
          <w:lang w:eastAsia="en-US"/>
        </w:rPr>
        <w:t xml:space="preserve"> </w:t>
      </w:r>
      <w:r>
        <w:rPr>
          <w:rFonts w:cs="David" w:ascii="Calibri" w:hAnsi="Calibri"/>
          <w:sz w:val="24"/>
          <w:rtl w:val="true"/>
          <w:lang w:eastAsia="en-US"/>
        </w:rPr>
        <w:t>(</w:t>
      </w:r>
      <w:r>
        <w:rPr>
          <w:rFonts w:ascii="Calibri" w:hAnsi="Calibri" w:cs="David"/>
          <w:sz w:val="24"/>
          <w:sz w:val="24"/>
          <w:rtl w:val="true"/>
          <w:lang w:eastAsia="en-US"/>
        </w:rPr>
        <w:t>ההדגשה</w:t>
      </w:r>
      <w:r>
        <w:rPr>
          <w:rFonts w:ascii="Calibri" w:hAnsi="Calibri" w:eastAsia="Calibri" w:cs="Calibri"/>
          <w:sz w:val="24"/>
          <w:sz w:val="24"/>
          <w:rtl w:val="true"/>
          <w:lang w:eastAsia="en-US"/>
        </w:rPr>
        <w:t xml:space="preserve"> </w:t>
      </w:r>
      <w:r>
        <w:rPr>
          <w:rFonts w:ascii="Calibri" w:hAnsi="Calibri" w:cs="David"/>
          <w:sz w:val="24"/>
          <w:sz w:val="24"/>
          <w:rtl w:val="true"/>
          <w:lang w:eastAsia="en-US"/>
        </w:rPr>
        <w:t>אינה</w:t>
      </w:r>
      <w:r>
        <w:rPr>
          <w:rFonts w:ascii="Calibri" w:hAnsi="Calibri" w:eastAsia="Calibri" w:cs="Calibri"/>
          <w:sz w:val="24"/>
          <w:sz w:val="24"/>
          <w:rtl w:val="true"/>
          <w:lang w:eastAsia="en-US"/>
        </w:rPr>
        <w:t xml:space="preserve"> </w:t>
      </w:r>
      <w:r>
        <w:rPr>
          <w:rFonts w:ascii="Calibri" w:hAnsi="Calibri" w:cs="David"/>
          <w:sz w:val="24"/>
          <w:sz w:val="24"/>
          <w:rtl w:val="true"/>
          <w:lang w:eastAsia="en-US"/>
        </w:rPr>
        <w:t>במקור</w:t>
      </w:r>
      <w:r>
        <w:rPr>
          <w:rFonts w:ascii="Calibri" w:hAnsi="Calibri" w:eastAsia="Calibri" w:cs="Calibri"/>
          <w:sz w:val="24"/>
          <w:sz w:val="24"/>
          <w:rtl w:val="true"/>
          <w:lang w:eastAsia="en-US"/>
        </w:rPr>
        <w:t xml:space="preserve"> </w:t>
      </w:r>
      <w:r>
        <w:rPr>
          <w:rFonts w:ascii="Calibri" w:hAnsi="Calibri" w:cs="David"/>
          <w:sz w:val="24"/>
          <w:sz w:val="24"/>
          <w:rtl w:val="true"/>
          <w:lang w:eastAsia="en-US"/>
        </w:rPr>
        <w:t>–</w:t>
      </w:r>
      <w:r>
        <w:rPr>
          <w:rFonts w:ascii="Calibri" w:hAnsi="Calibri" w:cs="David"/>
          <w:sz w:val="24"/>
          <w:sz w:val="24"/>
          <w:rtl w:val="true"/>
          <w:lang w:eastAsia="en-US"/>
        </w:rPr>
        <w:t>ד</w:t>
      </w:r>
      <w:r>
        <w:rPr>
          <w:rFonts w:cs="David" w:ascii="Calibri" w:hAnsi="Calibri"/>
          <w:sz w:val="24"/>
          <w:rtl w:val="true"/>
          <w:lang w:eastAsia="en-US"/>
        </w:rPr>
        <w:t>.</w:t>
      </w:r>
      <w:r>
        <w:rPr>
          <w:rFonts w:ascii="Calibri" w:hAnsi="Calibri" w:cs="David"/>
          <w:sz w:val="24"/>
          <w:sz w:val="24"/>
          <w:rtl w:val="true"/>
          <w:lang w:eastAsia="en-US"/>
        </w:rPr>
        <w:t>ס</w:t>
      </w:r>
      <w:r>
        <w:rPr>
          <w:rFonts w:cs="David" w:ascii="Calibri" w:hAnsi="Calibri"/>
          <w:sz w:val="24"/>
          <w:rtl w:val="true"/>
          <w:lang w:eastAsia="en-US"/>
        </w:rPr>
        <w:t>.).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6"/>
          <w:szCs w:val="6"/>
          <w:lang w:eastAsia="en-US"/>
        </w:rPr>
      </w:pPr>
      <w:r>
        <w:rPr>
          <w:rFonts w:cs="David" w:ascii="David" w:hAnsi="David"/>
          <w:sz w:val="6"/>
          <w:szCs w:val="6"/>
          <w:rtl w:val="true"/>
          <w:lang w:eastAsia="en-US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סוף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דבר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2</w:t>
      </w:r>
      <w:r>
        <w:rPr>
          <w:b/>
          <w:bCs/>
        </w:rPr>
        <w:t>0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tl w:val="true"/>
        </w:rPr>
        <w:t xml:space="preserve">, </w:t>
      </w:r>
      <w:r>
        <w:rPr>
          <w:rtl w:val="true"/>
        </w:rPr>
        <w:t>כדלהלן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14"/>
          <w:szCs w:val="14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 מאסר בפועל לריצוי 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ascii="David" w:hAnsi="David"/>
          <w:b/>
          <w:b/>
          <w:bCs/>
          <w:rtl w:val="true"/>
        </w:rPr>
        <w:t xml:space="preserve">עבודות שירות </w:t>
      </w:r>
      <w:r>
        <w:rPr>
          <w:rFonts w:ascii="David" w:hAnsi="David"/>
          <w:rtl w:val="true"/>
        </w:rPr>
        <w:t xml:space="preserve">החל מיום </w:t>
      </w:r>
      <w:r>
        <w:rPr>
          <w:rFonts w:cs="David" w:ascii="David" w:hAnsi="David"/>
        </w:rPr>
        <w:t>7/12/21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בתנאים ובמקום שקבע הממונה בחוות דעתו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מאסר על תנאי למשך </w:t>
      </w:r>
      <w:r>
        <w:rPr>
          <w:rFonts w:cs="Calibri" w:ascii="Calibri" w:hAnsi="Calibri"/>
          <w:b/>
          <w:bCs/>
        </w:rPr>
        <w:t>12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שהנאשם לא יישא 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זולת אם יעבור במשך שלוש שנים עבירה בה הורשע או כל עבירת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אלימות או רכוש מסוג פשע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10/10/22</w:t>
      </w:r>
      <w:r>
        <w:rPr>
          <w:rtl w:val="true"/>
        </w:rPr>
        <w:t xml:space="preserve"> </w:t>
      </w:r>
      <w:r>
        <w:rPr>
          <w:rtl w:val="true"/>
        </w:rPr>
        <w:t>ואילך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Fonts w:ascii="David" w:hAnsi="David"/>
          <w:rtl w:val="true"/>
        </w:rPr>
        <w:t>מובהר בזה לנאשם כי עליו לעמוד באופן דווקני בצו שניתן לביצוע עבודות השירות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מוזהר בזה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rtl w:val="true"/>
        </w:rPr>
        <w:t>תנאי העסקה של עבודות השירות הם קפדניים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מצריכים התייצבות רציפה ועמידה בהנחיות החוק והממונה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יש בחריגה מכללים אלו כדי להביא להפסקה מנהלית של ריצוי מאסרו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וריצוי יתרת ימי המאסר בפועל בין כתלי הכלא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254" w:before="0" w:after="160"/>
        <w:ind w:firstLine="720" w:end="0"/>
        <w:jc w:val="start"/>
        <w:rPr>
          <w:rFonts w:ascii="Calibri" w:hAnsi="Calibri" w:cs="Calibri"/>
          <w:sz w:val="14"/>
          <w:szCs w:val="14"/>
        </w:rPr>
      </w:pPr>
      <w:r>
        <w:rPr>
          <w:rFonts w:cs="Calibri" w:ascii="Calibri" w:hAnsi="Calibri"/>
          <w:sz w:val="14"/>
          <w:szCs w:val="14"/>
          <w:rtl w:val="true"/>
        </w:rPr>
      </w:r>
    </w:p>
    <w:p>
      <w:pPr>
        <w:pStyle w:val="Normal"/>
        <w:spacing w:lineRule="auto" w:line="254" w:before="0" w:after="160"/>
        <w:ind w:firstLine="720" w:end="0"/>
        <w:jc w:val="start"/>
        <w:rPr/>
      </w:pPr>
      <w:r>
        <w:rPr>
          <w:rFonts w:ascii="Calibri" w:hAnsi="Calibri" w:cs="Calibri"/>
          <w:b/>
          <w:b/>
          <w:bCs/>
          <w:rtl w:val="true"/>
        </w:rPr>
        <w:t>המזכירות תעביר את גזר הדין לממונה על עבודות השירות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 xml:space="preserve"> </w:t>
      </w:r>
    </w:p>
    <w:p>
      <w:pPr>
        <w:pStyle w:val="Normal"/>
        <w:spacing w:lineRule="auto" w:line="254" w:before="0" w:after="160"/>
        <w:ind w:end="0"/>
        <w:jc w:val="start"/>
        <w:rPr>
          <w:rFonts w:ascii="Calibri" w:hAnsi="Calibri" w:cs="Calibri"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זכות ערעור 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יום לבית המשפט העליון</w:t>
      </w:r>
      <w:r>
        <w:rPr>
          <w:rFonts w:cs="David" w:ascii="David" w:hAnsi="David"/>
          <w:b/>
          <w:bCs/>
          <w:u w:val="single"/>
          <w:rtl w:val="true"/>
        </w:rPr>
        <w:t>.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tabs>
          <w:tab w:val="clear" w:pos="720"/>
          <w:tab w:val="left" w:pos="2586" w:leader="none"/>
        </w:tabs>
        <w:ind w:end="0"/>
        <w:jc w:val="start"/>
        <w:rPr/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cs="David" w:ascii="David" w:hAnsi="David"/>
          <w:color w:val="FFFFFF"/>
          <w:sz w:val="2"/>
          <w:szCs w:val="2"/>
          <w:rtl w:val="true"/>
        </w:rPr>
        <w:tab/>
      </w:r>
    </w:p>
    <w:p>
      <w:pPr>
        <w:pStyle w:val="Normal"/>
        <w:ind w:firstLine="720"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sz w:val="26"/>
          <w:szCs w:val="26"/>
        </w:rPr>
      </w:pPr>
      <w:bookmarkStart w:id="10" w:name="Nitan"/>
      <w:r>
        <w:rPr>
          <w:rFonts w:ascii="David" w:hAnsi="David"/>
          <w:rtl w:val="true"/>
        </w:rPr>
        <w:t>ניתן היום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י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 כסלו 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נובמבר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.  </w:t>
      </w:r>
      <w:bookmarkEnd w:id="10"/>
    </w:p>
    <w:p>
      <w:pPr>
        <w:pStyle w:val="Normal"/>
        <w:ind w:end="0"/>
        <w:jc w:val="center"/>
        <w:rPr>
          <w:rFonts w:ascii="David" w:hAnsi="David" w:cs="David"/>
          <w:i/>
          <w:i/>
          <w:iCs/>
          <w:sz w:val="26"/>
          <w:szCs w:val="26"/>
        </w:rPr>
      </w:pPr>
      <w:r>
        <w:rPr>
          <w:rFonts w:eastAsia="David" w:cs="David" w:ascii="David" w:hAnsi="David"/>
          <w:i/>
          <w:iCs/>
          <w:sz w:val="26"/>
          <w:szCs w:val="26"/>
          <w:rtl w:val="true"/>
        </w:rPr>
        <w:t xml:space="preserve">   </w:t>
      </w:r>
      <w:r>
        <w:rPr>
          <w:rFonts w:cs="David" w:ascii="David" w:hAnsi="David"/>
          <w:i/>
          <w:i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דיאנה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7"/>
      <w:footerReference w:type="default" r:id="rId68"/>
      <w:type w:val="nextPage"/>
      <w:pgSz w:w="11906" w:h="16838"/>
      <w:pgMar w:left="1134" w:right="1701" w:gutter="0" w:header="187" w:top="1701" w:footer="720" w:bottom="1134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41762-12-20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אנס גרדלי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Spacing">
    <w:name w:val="No Spacing"/>
    <w:qFormat/>
    <w:pPr>
      <w:widowControl/>
      <w:bidi w:val="1"/>
      <w:ind w:hanging="0" w:start="0" w:end="0"/>
      <w:jc w:val="start"/>
    </w:pPr>
    <w:rPr>
      <w:rFonts w:ascii="Calibri" w:hAnsi="Calibri" w:eastAsia="Calibri" w:cs="Arial"/>
      <w:color w:val="auto"/>
      <w:sz w:val="22"/>
      <w:szCs w:val="22"/>
      <w:lang w:val="en-US" w:bidi="he-IL" w:eastAsia="zh-CN"/>
    </w:rPr>
  </w:style>
  <w:style w:type="paragraph" w:styleId="P00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FrankRuehl"/>
      <w:color w:val="auto"/>
      <w:sz w:val="20"/>
      <w:szCs w:val="26"/>
      <w:lang w:val="en-US" w:eastAsia="en-IL" w:bidi="he-IL"/>
    </w:rPr>
  </w:style>
  <w:style w:type="paragraph" w:styleId="Style14">
    <w:name w:val="כללי"/>
    <w:basedOn w:val="Normal"/>
    <w:qFormat/>
    <w:pPr>
      <w:overflowPunct w:val="false"/>
      <w:autoSpaceDE w:val="false"/>
      <w:spacing w:lineRule="exact" w:line="270" w:before="0" w:after="240"/>
      <w:ind w:firstLine="284" w:start="0" w:end="0"/>
      <w:jc w:val="both"/>
    </w:pPr>
    <w:rPr>
      <w:rFonts w:cs="FrankRuehl"/>
      <w:sz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" TargetMode="External"/><Relationship Id="rId4" Type="http://schemas.openxmlformats.org/officeDocument/2006/relationships/hyperlink" Target="http://www.nevo.co.il/law/70301/40f" TargetMode="External"/><Relationship Id="rId5" Type="http://schemas.openxmlformats.org/officeDocument/2006/relationships/hyperlink" Target="http://www.nevo.co.il/law/70301/40g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40j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c.3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144.c.3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17948201" TargetMode="External"/><Relationship Id="rId14" Type="http://schemas.openxmlformats.org/officeDocument/2006/relationships/hyperlink" Target="http://www.nevo.co.il/case/7791493" TargetMode="External"/><Relationship Id="rId15" Type="http://schemas.openxmlformats.org/officeDocument/2006/relationships/hyperlink" Target="http://www.nevo.co.il/case/7821883" TargetMode="External"/><Relationship Id="rId16" Type="http://schemas.openxmlformats.org/officeDocument/2006/relationships/hyperlink" Target="http://www.nevo.co.il/case/3878506" TargetMode="External"/><Relationship Id="rId17" Type="http://schemas.openxmlformats.org/officeDocument/2006/relationships/hyperlink" Target="http://www.nevo.co.il/case/6136093" TargetMode="External"/><Relationship Id="rId18" Type="http://schemas.openxmlformats.org/officeDocument/2006/relationships/hyperlink" Target="http://www.nevo.co.il/law/70301/40i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0f" TargetMode="External"/><Relationship Id="rId21" Type="http://schemas.openxmlformats.org/officeDocument/2006/relationships/hyperlink" Target="http://www.nevo.co.il/law/70301/40g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6473037" TargetMode="External"/><Relationship Id="rId24" Type="http://schemas.openxmlformats.org/officeDocument/2006/relationships/hyperlink" Target="http://www.nevo.co.il/case/23009435" TargetMode="External"/><Relationship Id="rId25" Type="http://schemas.openxmlformats.org/officeDocument/2006/relationships/hyperlink" Target="http://www.nevo.co.il/case/6248029" TargetMode="External"/><Relationship Id="rId26" Type="http://schemas.openxmlformats.org/officeDocument/2006/relationships/hyperlink" Target="http://www.nevo.co.il/case/20832660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40c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40c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40i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7791493" TargetMode="External"/><Relationship Id="rId35" Type="http://schemas.openxmlformats.org/officeDocument/2006/relationships/hyperlink" Target="http://www.nevo.co.il/case/23509035" TargetMode="External"/><Relationship Id="rId36" Type="http://schemas.openxmlformats.org/officeDocument/2006/relationships/hyperlink" Target="http://www.nevo.co.il/case/5878682" TargetMode="External"/><Relationship Id="rId37" Type="http://schemas.openxmlformats.org/officeDocument/2006/relationships/hyperlink" Target="http://www.nevo.co.il/case/21946424" TargetMode="External"/><Relationship Id="rId38" Type="http://schemas.openxmlformats.org/officeDocument/2006/relationships/hyperlink" Target="http://www.nevo.co.il/case/8291683" TargetMode="External"/><Relationship Id="rId39" Type="http://schemas.openxmlformats.org/officeDocument/2006/relationships/hyperlink" Target="http://www.nevo.co.il/case/25612982" TargetMode="External"/><Relationship Id="rId40" Type="http://schemas.openxmlformats.org/officeDocument/2006/relationships/hyperlink" Target="http://www.nevo.co.il/case/13093744" TargetMode="External"/><Relationship Id="rId41" Type="http://schemas.openxmlformats.org/officeDocument/2006/relationships/hyperlink" Target="http://www.nevo.co.il/case/26263927" TargetMode="External"/><Relationship Id="rId42" Type="http://schemas.openxmlformats.org/officeDocument/2006/relationships/hyperlink" Target="http://www.nevo.co.il/case/6473037" TargetMode="External"/><Relationship Id="rId43" Type="http://schemas.openxmlformats.org/officeDocument/2006/relationships/hyperlink" Target="http://www.nevo.co.il/case/7821883" TargetMode="External"/><Relationship Id="rId44" Type="http://schemas.openxmlformats.org/officeDocument/2006/relationships/hyperlink" Target="http://www.nevo.co.il/case/6043688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case/25824898" TargetMode="External"/><Relationship Id="rId47" Type="http://schemas.openxmlformats.org/officeDocument/2006/relationships/hyperlink" Target="http://www.nevo.co.il/case/20685046" TargetMode="External"/><Relationship Id="rId48" Type="http://schemas.openxmlformats.org/officeDocument/2006/relationships/hyperlink" Target="http://www.nevo.co.il/law/70301/144.a" TargetMode="External"/><Relationship Id="rId49" Type="http://schemas.openxmlformats.org/officeDocument/2006/relationships/hyperlink" Target="http://www.nevo.co.il/law/70301/144.c.3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case/21055840" TargetMode="External"/><Relationship Id="rId52" Type="http://schemas.openxmlformats.org/officeDocument/2006/relationships/hyperlink" Target="http://www.nevo.co.il/case/20718258" TargetMode="External"/><Relationship Id="rId53" Type="http://schemas.openxmlformats.org/officeDocument/2006/relationships/hyperlink" Target="http://www.nevo.co.il/case/22531980" TargetMode="External"/><Relationship Id="rId54" Type="http://schemas.openxmlformats.org/officeDocument/2006/relationships/hyperlink" Target="http://www.nevo.co.il/case/25294543" TargetMode="External"/><Relationship Id="rId55" Type="http://schemas.openxmlformats.org/officeDocument/2006/relationships/hyperlink" Target="http://www.nevo.co.il/case/23009435" TargetMode="External"/><Relationship Id="rId56" Type="http://schemas.openxmlformats.org/officeDocument/2006/relationships/hyperlink" Target="http://www.nevo.co.il/case/22250185" TargetMode="External"/><Relationship Id="rId57" Type="http://schemas.openxmlformats.org/officeDocument/2006/relationships/hyperlink" Target="http://www.nevo.co.il/case/10499511" TargetMode="External"/><Relationship Id="rId58" Type="http://schemas.openxmlformats.org/officeDocument/2006/relationships/hyperlink" Target="http://www.nevo.co.il/case/4656586" TargetMode="External"/><Relationship Id="rId59" Type="http://schemas.openxmlformats.org/officeDocument/2006/relationships/hyperlink" Target="http://www.nevo.co.il/case/5153529" TargetMode="External"/><Relationship Id="rId60" Type="http://schemas.openxmlformats.org/officeDocument/2006/relationships/hyperlink" Target="http://www.nevo.co.il/case/5678001" TargetMode="External"/><Relationship Id="rId61" Type="http://schemas.openxmlformats.org/officeDocument/2006/relationships/hyperlink" Target="http://www.nevo.co.il/case/27841913" TargetMode="External"/><Relationship Id="rId62" Type="http://schemas.openxmlformats.org/officeDocument/2006/relationships/hyperlink" Target="http://www.nevo.co.il/case/27171364" TargetMode="External"/><Relationship Id="rId63" Type="http://schemas.openxmlformats.org/officeDocument/2006/relationships/hyperlink" Target="http://www.nevo.co.il/case/6473037" TargetMode="External"/><Relationship Id="rId64" Type="http://schemas.openxmlformats.org/officeDocument/2006/relationships/hyperlink" Target="http://www.nevo.co.il/case/5704648" TargetMode="External"/><Relationship Id="rId65" Type="http://schemas.openxmlformats.org/officeDocument/2006/relationships/hyperlink" Target="http://www.nevo.co.il/case/5819116" TargetMode="External"/><Relationship Id="rId66" Type="http://schemas.openxmlformats.org/officeDocument/2006/relationships/hyperlink" Target="http://www.nevo.co.il/advertisements/nevo-100.doc" TargetMode="External"/><Relationship Id="rId67" Type="http://schemas.openxmlformats.org/officeDocument/2006/relationships/header" Target="header1.xml"/><Relationship Id="rId68" Type="http://schemas.openxmlformats.org/officeDocument/2006/relationships/footer" Target="footer1.xml"/><Relationship Id="rId69" Type="http://schemas.openxmlformats.org/officeDocument/2006/relationships/fontTable" Target="fontTable.xml"/><Relationship Id="rId70" Type="http://schemas.openxmlformats.org/officeDocument/2006/relationships/settings" Target="settings.xml"/><Relationship Id="rId7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2022-11-20T12:28:00Z</dcterms:created>
  <dc:creator> </dc:creator>
  <dc:description/>
  <cp:keywords/>
  <dc:language>en-IL</dc:language>
  <cp:lastModifiedBy>h1</cp:lastModifiedBy>
  <dcterms:modified xsi:type="dcterms:W3CDTF">2022-11-20T12:28:00Z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אנס גרדלי</vt:lpwstr>
  </property>
  <property fmtid="{D5CDD505-2E9C-101B-9397-08002B2CF9AE}" pid="4" name="CASESLISTTMP1">
    <vt:lpwstr>17948201;7791493:2;7821883:2;3878506;6136093;6473037:3;23009435:2;6248029;20832660;23509035;5878682;21946424;8291683;25612982;13093744;26263927;6043688;25824898;20685046;21055840;20718258;22531980;25294543;22250185;10499511;4656586;5153529;5678001</vt:lpwstr>
  </property>
  <property fmtid="{D5CDD505-2E9C-101B-9397-08002B2CF9AE}" pid="5" name="CASESLISTTMP2">
    <vt:lpwstr>27841913;27171364;5704648;5819116</vt:lpwstr>
  </property>
  <property fmtid="{D5CDD505-2E9C-101B-9397-08002B2CF9AE}" pid="6" name="CITY">
    <vt:lpwstr>חי'</vt:lpwstr>
  </property>
  <property fmtid="{D5CDD505-2E9C-101B-9397-08002B2CF9AE}" pid="7" name="DATE">
    <vt:lpwstr>20211116</vt:lpwstr>
  </property>
  <property fmtid="{D5CDD505-2E9C-101B-9397-08002B2CF9AE}" pid="8" name="ISABSTRACT">
    <vt:lpwstr>Y</vt:lpwstr>
  </property>
  <property fmtid="{D5CDD505-2E9C-101B-9397-08002B2CF9AE}" pid="9" name="JUDGE">
    <vt:lpwstr>דיאנה סלע</vt:lpwstr>
  </property>
  <property fmtid="{D5CDD505-2E9C-101B-9397-08002B2CF9AE}" pid="10" name="LAWLISTTMP1">
    <vt:lpwstr>70301/144.a:2;144.c.3:2;040i:2;040f;040g;040c:2;040j</vt:lpwstr>
  </property>
  <property fmtid="{D5CDD505-2E9C-101B-9397-08002B2CF9AE}" pid="11" name="NEWPARTA">
    <vt:lpwstr>41762</vt:lpwstr>
  </property>
  <property fmtid="{D5CDD505-2E9C-101B-9397-08002B2CF9AE}" pid="12" name="NEWPARTB">
    <vt:lpwstr>12</vt:lpwstr>
  </property>
  <property fmtid="{D5CDD505-2E9C-101B-9397-08002B2CF9AE}" pid="13" name="NEWPARTC">
    <vt:lpwstr>20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TYPE_ABS_DATE">
    <vt:lpwstr>390020211116</vt:lpwstr>
  </property>
  <property fmtid="{D5CDD505-2E9C-101B-9397-08002B2CF9AE}" pid="18" name="TYPE_N_DATE">
    <vt:lpwstr>39020211116</vt:lpwstr>
  </property>
  <property fmtid="{D5CDD505-2E9C-101B-9397-08002B2CF9AE}" pid="19" name="WORDNUMPAGES">
    <vt:lpwstr>15</vt:lpwstr>
  </property>
</Properties>
</file>