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41775-01-11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ערוסי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ערוסי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המאשימה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אדטו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u w:val="none"/>
        </w:rPr>
      </w:pPr>
      <w:r>
        <w:rPr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1.6.08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וששיגשגה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פילנטרופית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ומטיפולים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12"/>
          <w:szCs w:val="12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2006-2013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וכישלון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הממזערת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המוגבלת</w:t>
      </w:r>
      <w:r>
        <w:rPr>
          <w:rtl w:val="true"/>
        </w:rPr>
        <w:t xml:space="preserve">,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הממזערת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הפילנטרופית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באיגרא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עמיקתא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4/8/2014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18.9.14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בעושרו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קביעת מתחם העונש ההולם למעשה העבירה נעשית בהתאם לעקרון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קביעת מתחם העונש ההולם יש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הנוהגת ובנסיבות הקשורות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25.03.09</w:t>
      </w:r>
      <w:r>
        <w:rPr>
          <w:rtl w:val="true"/>
        </w:rPr>
        <w:t>):</w:t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'"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שסקרה כבוד השופטת ארבל שורה ארוכה של פסקי דין שנתנו בעבירות דומות בבית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קבעה כי אדם אשר החזיק נשק אוטומטי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וכן החזיק 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בנשק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הטמין אותו במקום מסתור הסמוך לביתו ובהמשך החזיק בנשק ובתחמושת בתא המטען של רכבו ומשהבחין בשוטרים נטש את הרכב כאשר הוא מונע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מן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והנשק לא הוחזק ממניעים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על רקע איומים שקיבל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עונש ההולם של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אחר </w:t>
      </w:r>
      <w:hyperlink r:id="rId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ענאן 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</w:t>
      </w:r>
      <w:r>
        <w:rPr>
          <w:rFonts w:cs="David" w:ascii="David" w:hAnsi="David"/>
        </w:rPr>
        <w:t>7.7.14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אישר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עמית מתחם של </w:t>
      </w:r>
      <w:r>
        <w:rPr>
          <w:rFonts w:cs="David" w:ascii="David" w:hAnsi="David"/>
        </w:rPr>
        <w:t>24-10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לאדם שהחזיק ברכבו בקופסה גלויה במושב הקדמי אקדח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וכן קופסה בה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המקרה שלפני מקלות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באקדח שהוחזק בבית ללא תחמושת מתאימה שהוחזקה בנפרד ברכבו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למקרים שנדונו בבית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במקרה הראשון דובר בנשק אוטומטי מסוכן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שהוחזק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זמין לשימוש ובמקרה השני דובר באקדח טעון שלצדו תחמושת רבה אף הוא זמין לשימוש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על פי נסיבות כתב האישום שבפני ובהתחשב במתחמים שנקבעו על ידי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סבורה כי מתחם העונש ההולם הוא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שאינן קשורות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במסגרת זו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הסביר כי גם שליחתו למאסר ולו בעבודות שירות תפגע באופן אנוש בפרנסתו ובשיקומו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בהקשר זה כי מצבו של הנאשם טוב יותר ממצבם של נאשמים שאמונים על פרנסת בני משפחתם בעוד שילדיו של הנאשם בגירים והם אינם סמוכים על שולחנו</w:t>
      </w:r>
      <w:r>
        <w:rPr>
          <w:rFonts w:cs="David" w:ascii="David" w:hAnsi="David"/>
          <w:rtl w:val="true"/>
        </w:rPr>
        <w:t>.</w:t>
      </w:r>
      <w:bookmarkStart w:id="10" w:name="_GoBack"/>
      <w:bookmarkEnd w:id="10"/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השמונים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start="785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u w:val="single"/>
        </w:rPr>
      </w:pPr>
      <w:r>
        <w:rPr>
          <w:bCs/>
          <w:u w:val="single"/>
          <w:rtl w:val="true"/>
          <w:lang w:eastAsia="he-IL"/>
        </w:rPr>
        <w:t>סוגיית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הסטייה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מהמתחם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שיקול ההגנה על שלום הציבור</w:t>
      </w:r>
      <w:r>
        <w:rPr>
          <w:rFonts w:ascii="David" w:hAnsi="David"/>
          <w:rtl w:val="true"/>
        </w:rPr>
        <w:t xml:space="preserve"> אינו מצדיק החמרה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השיקול השיקומי</w:t>
      </w:r>
      <w:r>
        <w:rPr>
          <w:rFonts w:ascii="David" w:hAnsi="David"/>
          <w:rtl w:val="true"/>
        </w:rPr>
        <w:t xml:space="preserve"> אינו מצדיק הקלה בעונשו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6443/12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ליצקי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09.09.12</w:t>
      </w:r>
      <w:r>
        <w:rPr>
          <w:rtl w:val="true"/>
        </w:rPr>
        <w:t>), "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tl w:val="true"/>
        </w:rPr>
        <w:t xml:space="preserve">."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18.9.14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לאור כל האמור לעיל החלטתי להטיל על הנאשם את העונשים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start="1980" w:end="0"/>
        <w:jc w:val="both"/>
        <w:rPr>
          <w:sz w:val="12"/>
          <w:szCs w:val="12"/>
        </w:rPr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19.10.14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sz w:val="12"/>
          <w:szCs w:val="12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start="19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start="198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בספטמבר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b/>
          <w:bCs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197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41775-01-11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דורון ערוסי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sz w:val="24"/>
        <w:szCs w:val="24"/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sz w:val="24"/>
      <w:szCs w:val="24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b/>
      <w:strike w:val="false"/>
      <w:dstrike w:val="false"/>
      <w:sz w:val="24"/>
      <w:szCs w:val="24"/>
      <w:u w:val="none"/>
    </w:rPr>
  </w:style>
  <w:style w:type="character" w:styleId="WW8Num2z2">
    <w:name w:val="WW8Num2z2"/>
    <w:qFormat/>
    <w:rPr>
      <w:rFonts w:cs="Times New Roman"/>
      <w:b/>
      <w:u w:val="single"/>
    </w:rPr>
  </w:style>
  <w:style w:type="character" w:styleId="WW8Num3z0">
    <w:name w:val="WW8Num3z0"/>
    <w:qFormat/>
    <w:rPr>
      <w:rFonts w:ascii="A028 Extrabold;Times New Roman" w:hAnsi="A028 Extrabold;Times New Roman" w:cs="David"/>
    </w:rPr>
  </w:style>
  <w:style w:type="character" w:styleId="WW8Num3z1">
    <w:name w:val="WW8Num3z1"/>
    <w:qFormat/>
    <w:rPr>
      <w:rFonts w:ascii="A028 Extrabold;Times New Roman" w:hAnsi="A028 Extrabold;Times New Roman" w:cs="David"/>
      <w:sz w:val="24"/>
      <w:szCs w:val="24"/>
    </w:rPr>
  </w:style>
  <w:style w:type="character" w:styleId="WW8Num3z2">
    <w:name w:val="WW8Num3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56f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case/6040482" TargetMode="External"/><Relationship Id="rId7" Type="http://schemas.openxmlformats.org/officeDocument/2006/relationships/hyperlink" Target="http://www.nevo.co.il/case/7791493" TargetMode="External"/><Relationship Id="rId8" Type="http://schemas.openxmlformats.org/officeDocument/2006/relationships/hyperlink" Target="http://www.nevo.co.il/case/13093744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94599" TargetMode="External"/><Relationship Id="rId13" Type="http://schemas.openxmlformats.org/officeDocument/2006/relationships/hyperlink" Target="http://www.nevo.co.il/law/70301/56f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2014-09-22T12:07:00Z</dcterms:created>
  <dc:creator> </dc:creator>
  <dc:description/>
  <cp:keywords/>
  <dc:language>en-IL</dc:language>
  <cp:lastModifiedBy>hofit</cp:lastModifiedBy>
  <dcterms:modified xsi:type="dcterms:W3CDTF">2014-09-22T12:07:00Z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דורון ערוסי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6040482;7791493;13093744;5594599</vt:lpwstr>
  </property>
  <property fmtid="{D5CDD505-2E9C-101B-9397-08002B2CF9AE}" pid="9" name="CITY">
    <vt:lpwstr>י-ם</vt:lpwstr>
  </property>
  <property fmtid="{D5CDD505-2E9C-101B-9397-08002B2CF9AE}" pid="10" name="DATE">
    <vt:lpwstr>20140918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70301/40ja;040d;056f</vt:lpwstr>
  </property>
  <property fmtid="{D5CDD505-2E9C-101B-9397-08002B2CF9AE}" pid="15" name="LAWYER">
    <vt:lpwstr>אדטו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41775</vt:lpwstr>
  </property>
  <property fmtid="{D5CDD505-2E9C-101B-9397-08002B2CF9AE}" pid="22" name="NEWPARTB">
    <vt:lpwstr>01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380020140918</vt:lpwstr>
  </property>
  <property fmtid="{D5CDD505-2E9C-101B-9397-08002B2CF9AE}" pid="34" name="TYPE_N_DATE">
    <vt:lpwstr>38020140918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