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41883-03-10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נהארי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צבי גורפינקל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הראל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אופיר נהארי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אבי כהן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14.3.10</w:t>
      </w:r>
      <w:r>
        <w:rPr>
          <w:rtl w:val="true"/>
        </w:rPr>
        <w:t xml:space="preserve"> </w:t>
      </w:r>
      <w:r>
        <w:rPr>
          <w:rtl w:val="true"/>
        </w:rPr>
        <w:t xml:space="preserve">פרסמה שרון נאורי שהיא שוטרת מודעה באתר </w:t>
      </w:r>
      <w:r>
        <w:rPr>
          <w:rtl w:val="true"/>
        </w:rPr>
        <w:t>"</w:t>
      </w:r>
      <w:r>
        <w:rPr>
          <w:rtl w:val="true"/>
        </w:rPr>
        <w:t>יד שתיים</w:t>
      </w:r>
      <w:r>
        <w:rPr>
          <w:rtl w:val="true"/>
        </w:rPr>
        <w:t xml:space="preserve">", </w:t>
      </w:r>
      <w:r>
        <w:rPr>
          <w:rtl w:val="true"/>
        </w:rPr>
        <w:t>למכירת אקדח פרטי שלה</w:t>
      </w:r>
      <w:r>
        <w:rPr>
          <w:rtl w:val="true"/>
        </w:rPr>
        <w:t xml:space="preserve">, </w:t>
      </w:r>
      <w:r>
        <w:rPr>
          <w:rtl w:val="true"/>
        </w:rPr>
        <w:t>שלא במסגרת תפקידה כשוטרת</w:t>
      </w:r>
      <w:r>
        <w:rPr>
          <w:rtl w:val="true"/>
        </w:rPr>
        <w:t xml:space="preserve">, </w:t>
      </w:r>
      <w:r>
        <w:rPr>
          <w:rtl w:val="true"/>
        </w:rPr>
        <w:t>הנאשם החליט לרכוש אקדח</w:t>
      </w:r>
      <w:r>
        <w:rPr>
          <w:rtl w:val="true"/>
        </w:rPr>
        <w:t xml:space="preserve">, </w:t>
      </w:r>
      <w:r>
        <w:rPr>
          <w:rtl w:val="true"/>
        </w:rPr>
        <w:t>ויצר קשר עם אנשים שונים</w:t>
      </w:r>
      <w:r>
        <w:rPr>
          <w:rtl w:val="true"/>
        </w:rPr>
        <w:t xml:space="preserve">, </w:t>
      </w:r>
      <w:r>
        <w:rPr>
          <w:rtl w:val="true"/>
        </w:rPr>
        <w:t>בין היתר נכנס לאתר</w:t>
      </w:r>
      <w:r>
        <w:rPr>
          <w:rtl w:val="true"/>
        </w:rPr>
        <w:t xml:space="preserve">, </w:t>
      </w:r>
      <w:r>
        <w:rPr>
          <w:rtl w:val="true"/>
        </w:rPr>
        <w:t xml:space="preserve">וביקש לרכוש את האקדח תמורת </w:t>
      </w:r>
      <w:r>
        <w:rPr/>
        <w:t>250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התקשר לשרון והודיע לה שאין  ברשותו רשיון להחזקת נשק</w:t>
      </w:r>
      <w:r>
        <w:rPr>
          <w:rtl w:val="true"/>
        </w:rPr>
        <w:t xml:space="preserve">, </w:t>
      </w:r>
      <w:r>
        <w:rPr>
          <w:rtl w:val="true"/>
        </w:rPr>
        <w:t>ולמרות שהיא הבהירה לו שיש צורך ברשיון</w:t>
      </w:r>
      <w:r>
        <w:rPr>
          <w:rtl w:val="true"/>
        </w:rPr>
        <w:t xml:space="preserve">, </w:t>
      </w:r>
      <w:r>
        <w:rPr>
          <w:rtl w:val="true"/>
        </w:rPr>
        <w:t>הוא ביקש לרכוש את האקדח</w:t>
      </w:r>
      <w:r>
        <w:rPr>
          <w:rtl w:val="true"/>
        </w:rPr>
        <w:t xml:space="preserve">, </w:t>
      </w:r>
      <w:r>
        <w:rPr>
          <w:rtl w:val="true"/>
        </w:rPr>
        <w:t>שרון מסרה דיווח על הענין למשטרה</w:t>
      </w:r>
      <w:r>
        <w:rPr>
          <w:rtl w:val="true"/>
        </w:rPr>
        <w:t xml:space="preserve">, </w:t>
      </w:r>
      <w:r>
        <w:rPr>
          <w:rtl w:val="true"/>
        </w:rPr>
        <w:t>והפגישה שבין הנאשם לשרון נערכה תחת פיקוח משטרתי</w:t>
      </w:r>
      <w:r>
        <w:rPr>
          <w:rtl w:val="true"/>
        </w:rPr>
        <w:t xml:space="preserve">, </w:t>
      </w:r>
      <w:r>
        <w:rPr>
          <w:rtl w:val="true"/>
        </w:rPr>
        <w:t>הנאשם קיבל לחזקתו את האקדח וקיבל הסבר משרון כיצד לדרוך אותו ולהטעינו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מסר לשרון </w:t>
      </w:r>
      <w:r>
        <w:rPr/>
        <w:t>200</w:t>
      </w:r>
      <w:r>
        <w:rPr>
          <w:rtl w:val="true"/>
        </w:rPr>
        <w:t xml:space="preserve"> ₪, </w:t>
      </w:r>
      <w:r>
        <w:rPr>
          <w:rtl w:val="true"/>
        </w:rPr>
        <w:t>והחביא את האקדח במגף שנעל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בגין זאת הורשע הנאשם על פי הודאתו בעבירת נשק </w:t>
      </w:r>
      <w:r>
        <w:rPr>
          <w:rtl w:val="true"/>
        </w:rPr>
        <w:t>(</w:t>
      </w:r>
      <w:r>
        <w:rPr>
          <w:rtl w:val="true"/>
        </w:rPr>
        <w:t>רכישת ואחזקת אקדח</w:t>
      </w:r>
      <w:r>
        <w:rPr>
          <w:rtl w:val="true"/>
        </w:rPr>
        <w:t xml:space="preserve">) </w:t>
      </w:r>
      <w:r>
        <w:rPr>
          <w:rtl w:val="true"/>
        </w:rPr>
        <w:t>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הרשעה זו של הנאשם על פי הודאתו היתה במסגרת הסדר טיעון</w:t>
      </w:r>
      <w:r>
        <w:rPr>
          <w:rtl w:val="true"/>
        </w:rPr>
        <w:t xml:space="preserve">, </w:t>
      </w:r>
      <w:r>
        <w:rPr>
          <w:rtl w:val="true"/>
        </w:rPr>
        <w:t>שבו לא הוסכם על ענישה</w:t>
      </w:r>
      <w:r>
        <w:rPr>
          <w:rtl w:val="true"/>
        </w:rPr>
        <w:t xml:space="preserve">, </w:t>
      </w:r>
      <w:r>
        <w:rPr>
          <w:rtl w:val="true"/>
        </w:rPr>
        <w:t>אך הוסכם כי יוגש תסקיר של 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סקר את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ציין את העובדה שאין לו עבר פלילי</w:t>
      </w:r>
      <w:r>
        <w:rPr>
          <w:rtl w:val="true"/>
        </w:rPr>
        <w:t xml:space="preserve">, </w:t>
      </w:r>
      <w:r>
        <w:rPr>
          <w:rtl w:val="true"/>
        </w:rPr>
        <w:t>ולקיחת אחריות מלאה מצד הנאשם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לאור העובדה שהנאשם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שירת שירות צבאי מלא</w:t>
      </w:r>
      <w:r>
        <w:rPr>
          <w:rtl w:val="true"/>
        </w:rPr>
        <w:t xml:space="preserve">, </w:t>
      </w:r>
      <w:r>
        <w:rPr>
          <w:rtl w:val="true"/>
        </w:rPr>
        <w:t>ומתפקד בצורה נורמטיבית</w:t>
      </w:r>
      <w:r>
        <w:rPr>
          <w:rtl w:val="true"/>
        </w:rPr>
        <w:t xml:space="preserve">, </w:t>
      </w:r>
      <w:r>
        <w:rPr>
          <w:rtl w:val="true"/>
        </w:rPr>
        <w:t>וכן לאור לקיחת האחריות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להטיל על הנאשם צו מבחן למשך שנה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שימשיך בהליך טיפולי</w:t>
      </w:r>
      <w:r>
        <w:rPr>
          <w:rtl w:val="true"/>
        </w:rPr>
        <w:t xml:space="preserve">, </w:t>
      </w:r>
      <w:r>
        <w:rPr>
          <w:rtl w:val="true"/>
        </w:rPr>
        <w:t>וצו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 הטיעונים לעונש</w:t>
      </w:r>
      <w:r>
        <w:rPr>
          <w:rtl w:val="true"/>
        </w:rPr>
        <w:t xml:space="preserve">, </w:t>
      </w:r>
      <w:r>
        <w:rPr>
          <w:rtl w:val="true"/>
        </w:rPr>
        <w:t>הבהרתי כי לאור העובדה שמדובר ברכישת אקדח משוטרת</w:t>
      </w:r>
      <w:r>
        <w:rPr>
          <w:rtl w:val="true"/>
        </w:rPr>
        <w:t xml:space="preserve">, </w:t>
      </w:r>
      <w:r>
        <w:rPr>
          <w:rtl w:val="true"/>
        </w:rPr>
        <w:t>שלא הניאה את הנאשם מביצוע המעשה ולאור הנסיבות האישיות של הנאשם</w:t>
      </w:r>
      <w:r>
        <w:rPr>
          <w:rtl w:val="true"/>
        </w:rPr>
        <w:t xml:space="preserve">, </w:t>
      </w:r>
      <w:r>
        <w:rPr>
          <w:rtl w:val="true"/>
        </w:rPr>
        <w:t>אין בכוונתי לגזור עונש של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אולם הטלת של</w:t>
      </w:r>
      <w:r>
        <w:rPr>
          <w:rtl w:val="true"/>
        </w:rPr>
        <w:t>"</w:t>
      </w:r>
      <w:r>
        <w:rPr>
          <w:rtl w:val="true"/>
        </w:rPr>
        <w:t xml:space="preserve">צ בן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 בלבד אינה מספקת</w:t>
      </w:r>
      <w:r>
        <w:rPr>
          <w:rtl w:val="true"/>
        </w:rPr>
        <w:t xml:space="preserve">, </w:t>
      </w:r>
      <w:r>
        <w:rPr>
          <w:rtl w:val="true"/>
        </w:rPr>
        <w:t>לפיכך עתר הסניגור כי היקף השעות יוגדל ל</w:t>
      </w:r>
      <w:r>
        <w:rPr>
          <w:rtl w:val="true"/>
        </w:rPr>
        <w:t xml:space="preserve">-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הגיש תכנית לפי ההצעה משופרת</w:t>
      </w:r>
      <w:r>
        <w:rPr>
          <w:rtl w:val="true"/>
        </w:rPr>
        <w:t xml:space="preserve">, 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 הנאשם הפנה ל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11637/05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יאיר גימר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שם היתה מחלוקת האם להטיל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בעבודות שירות או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לאור התסקיר החיובי</w:t>
      </w:r>
      <w:r>
        <w:rPr>
          <w:rtl w:val="true"/>
        </w:rPr>
        <w:t xml:space="preserve">, </w:t>
      </w:r>
      <w:r>
        <w:rPr>
          <w:rtl w:val="true"/>
        </w:rPr>
        <w:t>הוחלט להסתפק בהטלת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המלצת שירות המבחן</w:t>
      </w:r>
      <w:r>
        <w:rPr>
          <w:rtl w:val="true"/>
        </w:rPr>
        <w:t xml:space="preserve">, </w:t>
      </w:r>
      <w:r>
        <w:rPr>
          <w:rtl w:val="true"/>
        </w:rPr>
        <w:t>העדר עבר פלילי של הנאשם</w:t>
      </w:r>
      <w:r>
        <w:rPr>
          <w:rtl w:val="true"/>
        </w:rPr>
        <w:t xml:space="preserve">, </w:t>
      </w:r>
      <w:r>
        <w:rPr>
          <w:rtl w:val="true"/>
        </w:rPr>
        <w:t>ונסיבות רכישת האקדח</w:t>
      </w:r>
      <w:r>
        <w:rPr>
          <w:rtl w:val="true"/>
        </w:rPr>
        <w:t xml:space="preserve">, </w:t>
      </w:r>
      <w:r>
        <w:rPr>
          <w:rtl w:val="true"/>
        </w:rPr>
        <w:t>כאשר העבירה יכולה היתה להימנע אילו השוטרת היתה מעמידה את הנאשם על חומרת המעשה ולא ממשיכה בביצוע עיסקת המכירה</w:t>
      </w:r>
      <w:r>
        <w:rPr>
          <w:rtl w:val="true"/>
        </w:rPr>
        <w:t xml:space="preserve">, </w:t>
      </w:r>
      <w:r>
        <w:rPr>
          <w:rtl w:val="true"/>
        </w:rPr>
        <w:t>אני מעדיף את החלופה של הטלת של</w:t>
      </w:r>
      <w:r>
        <w:rPr>
          <w:rtl w:val="true"/>
        </w:rPr>
        <w:t>"</w:t>
      </w:r>
      <w:r>
        <w:rPr>
          <w:rtl w:val="true"/>
        </w:rPr>
        <w:t>צ שהומלצה ע</w:t>
      </w:r>
      <w:r>
        <w:rPr>
          <w:rtl w:val="true"/>
        </w:rPr>
        <w:t>"</w:t>
      </w:r>
      <w:r>
        <w:rPr>
          <w:rtl w:val="true"/>
        </w:rPr>
        <w:t>י שירות המבחן חלף החלופה של מאסר בעבודות שירות</w:t>
      </w:r>
      <w:r>
        <w:rPr>
          <w:rtl w:val="true"/>
        </w:rPr>
        <w:t xml:space="preserve">, </w:t>
      </w:r>
      <w:r>
        <w:rPr>
          <w:rtl w:val="true"/>
        </w:rPr>
        <w:t>כאשר החלופה המוצעת</w:t>
      </w:r>
      <w:r>
        <w:rPr>
          <w:rtl w:val="true"/>
        </w:rPr>
        <w:t xml:space="preserve">, </w:t>
      </w:r>
      <w:r>
        <w:rPr>
          <w:rtl w:val="true"/>
        </w:rPr>
        <w:t>תאפשר לנאשם להמשיך בתפקודו ובעבודתו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האמור אני  גוזר על הנאשם שנה מאסר ע</w:t>
      </w:r>
      <w:r>
        <w:rPr>
          <w:rtl w:val="true"/>
        </w:rPr>
        <w:t>"</w:t>
      </w:r>
      <w:r>
        <w:rPr>
          <w:rtl w:val="true"/>
        </w:rPr>
        <w:t xml:space="preserve">ת 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עבירת נשק</w:t>
      </w:r>
      <w:r>
        <w:rPr>
          <w:rtl w:val="true"/>
        </w:rPr>
        <w:t xml:space="preserve">, </w:t>
      </w:r>
      <w:r>
        <w:rPr>
          <w:rtl w:val="true"/>
        </w:rPr>
        <w:t>מורה להעמידו בפיקוח שירות המבחן למשך שנה</w:t>
      </w:r>
      <w:r>
        <w:rPr>
          <w:rtl w:val="true"/>
        </w:rPr>
        <w:t xml:space="preserve">, </w:t>
      </w:r>
      <w:r>
        <w:rPr>
          <w:rtl w:val="true"/>
        </w:rPr>
        <w:t>מוציא צו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 xml:space="preserve">כאשר במסגרתו ישובץ הנאשם בעמותת </w:t>
      </w:r>
      <w:r>
        <w:rPr>
          <w:rtl w:val="true"/>
        </w:rPr>
        <w:t>"</w:t>
      </w:r>
      <w:r>
        <w:rPr>
          <w:rtl w:val="true"/>
        </w:rPr>
        <w:t>משולחן לשולחן</w:t>
      </w:r>
      <w:r>
        <w:rPr>
          <w:rtl w:val="true"/>
        </w:rPr>
        <w:t xml:space="preserve">" </w:t>
      </w:r>
      <w:r>
        <w:rPr>
          <w:rtl w:val="true"/>
        </w:rPr>
        <w:t>ברעננה</w:t>
      </w:r>
      <w:r>
        <w:rPr>
          <w:rtl w:val="true"/>
        </w:rPr>
        <w:t xml:space="preserve">, </w:t>
      </w:r>
      <w:r>
        <w:rPr>
          <w:rtl w:val="true"/>
        </w:rPr>
        <w:t xml:space="preserve">ויעבוד פעמיים בשבוע כל פעם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בסיוע בעבודות משרדיות ולוגיסטיות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לא קבע מועד לתחילת 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 xml:space="preserve">לכן יקבע מועד תחילת ביצוע הצו ליום </w:t>
      </w:r>
      <w:r>
        <w:rPr/>
        <w:t>1.11.10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העתק גזה</w:t>
      </w:r>
      <w:r>
        <w:rPr>
          <w:rtl w:val="true"/>
        </w:rPr>
        <w:t>"</w:t>
      </w:r>
      <w:r>
        <w:rPr>
          <w:rtl w:val="true"/>
        </w:rPr>
        <w:t>ד יועבר לשירות המבחן למבוגרים ברמלה ע</w:t>
      </w:r>
      <w:r>
        <w:rPr>
          <w:rtl w:val="true"/>
        </w:rPr>
        <w:t>"</w:t>
      </w:r>
      <w:r>
        <w:rPr>
          <w:rtl w:val="true"/>
        </w:rPr>
        <w:t>מ שיתאם את קליטת הנאשם במסגרת צו השל</w:t>
      </w:r>
      <w:r>
        <w:rPr>
          <w:rtl w:val="true"/>
        </w:rPr>
        <w:t>"</w:t>
      </w:r>
      <w:r>
        <w:rPr>
          <w:rtl w:val="true"/>
        </w:rPr>
        <w:t>צ עם מקום העבודה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גורפינקל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ניתן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 אלול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07/09/2010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צבי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גורפינקל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/Users/liorb/Downloads/study2025-p2/ME-10-03-41883-718.doc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41883-03-10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אופיר נהארי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11637/05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2010-09-12T21:10:00Z</dcterms:created>
  <dc:creator> </dc:creator>
  <dc:description/>
  <cp:keywords/>
  <dc:language>en-IL</dc:language>
  <cp:lastModifiedBy>einat</cp:lastModifiedBy>
  <dcterms:modified xsi:type="dcterms:W3CDTF">2010-09-28T08:32:00Z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אופיר נהארי</vt:lpwstr>
  </property>
  <property fmtid="{D5CDD505-2E9C-101B-9397-08002B2CF9AE}" pid="4" name="CITY">
    <vt:lpwstr>ת"א</vt:lpwstr>
  </property>
  <property fmtid="{D5CDD505-2E9C-101B-9397-08002B2CF9AE}" pid="5" name="DATE">
    <vt:lpwstr>20100907</vt:lpwstr>
  </property>
  <property fmtid="{D5CDD505-2E9C-101B-9397-08002B2CF9AE}" pid="6" name="JUDGE">
    <vt:lpwstr>צבי גורפינקל</vt:lpwstr>
  </property>
  <property fmtid="{D5CDD505-2E9C-101B-9397-08002B2CF9AE}" pid="7" name="LAWYER">
    <vt:lpwstr>מדינת ישראל;הראל;אופיר נהארי;אבי כהן</vt:lpwstr>
  </property>
  <property fmtid="{D5CDD505-2E9C-101B-9397-08002B2CF9AE}" pid="8" name="NEWPARTA">
    <vt:lpwstr>41883</vt:lpwstr>
  </property>
  <property fmtid="{D5CDD505-2E9C-101B-9397-08002B2CF9AE}" pid="9" name="NEWPARTB">
    <vt:lpwstr>03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mechozi me 10 03 41883 718 htm</vt:lpwstr>
  </property>
  <property fmtid="{D5CDD505-2E9C-101B-9397-08002B2CF9AE}" pid="14" name="TYPE">
    <vt:lpwstr>2</vt:lpwstr>
  </property>
  <property fmtid="{D5CDD505-2E9C-101B-9397-08002B2CF9AE}" pid="15" name="TYPE_ABS_DATE">
    <vt:lpwstr>390020100907</vt:lpwstr>
  </property>
  <property fmtid="{D5CDD505-2E9C-101B-9397-08002B2CF9AE}" pid="16" name="TYPE_N_DATE">
    <vt:lpwstr>39020100907</vt:lpwstr>
  </property>
  <property fmtid="{D5CDD505-2E9C-101B-9397-08002B2CF9AE}" pid="17" name="WORDNUMPAGES">
    <vt:lpwstr>2</vt:lpwstr>
  </property>
</Properties>
</file>