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04"/>
        <w:gridCol w:w="2455"/>
        <w:gridCol w:w="3468"/>
        <w:gridCol w:w="194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9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41952-02-22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אמארה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527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עלי</w:t>
            </w:r>
          </w:p>
        </w:tc>
        <w:tc>
          <w:tcPr>
            <w:tcW w:w="194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527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94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269" w:hRule="atLeast"/>
          <w:cantSplit w:val="true"/>
        </w:trPr>
        <w:tc>
          <w:tcPr>
            <w:tcW w:w="2604" w:type="dxa"/>
            <w:tcBorders/>
          </w:tcPr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3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  <w:tc>
          <w:tcPr>
            <w:tcW w:w="194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269" w:hRule="atLeast"/>
          <w:cantSplit w:val="true"/>
        </w:trPr>
        <w:tc>
          <w:tcPr>
            <w:tcW w:w="2604" w:type="dxa"/>
            <w:tcBorders/>
          </w:tcPr>
          <w:p>
            <w:pPr>
              <w:pStyle w:val="Normal"/>
              <w:snapToGrid w:val="false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5923" w:type="dxa"/>
            <w:gridSpan w:val="2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אדם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סרי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מפרקליטת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  <w:tc>
          <w:tcPr>
            <w:tcW w:w="194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8527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נגד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94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604" w:type="dxa"/>
            <w:tcBorders/>
          </w:tcPr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3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עיסאם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אמארה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xxxxxxxxxx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194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15" w:hRule="atLeast"/>
        </w:trPr>
        <w:tc>
          <w:tcPr>
            <w:tcW w:w="2604" w:type="dxa"/>
            <w:tcBorders/>
          </w:tcPr>
          <w:p>
            <w:pPr>
              <w:pStyle w:val="Normal"/>
              <w:snapToGrid w:val="false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923" w:type="dxa"/>
            <w:gridSpan w:val="2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פאדי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זועבי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94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287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51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10"/>
      </w:tblGrid>
      <w:tr>
        <w:trPr>
          <w:trHeight w:val="355" w:hRule="atLeast"/>
        </w:trPr>
        <w:tc>
          <w:tcPr>
            <w:tcW w:w="851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ההליכים בעניינו של הנאשם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0" w:start="0" w:end="0"/>
        <w:contextualSpacing/>
        <w:jc w:val="both"/>
        <w:rPr>
          <w:lang w:val="en-IL" w:eastAsia="en-IL"/>
        </w:rPr>
      </w:pPr>
      <w:bookmarkStart w:id="9" w:name="ABSTRACT_START"/>
      <w:bookmarkEnd w:id="9"/>
      <w:r>
        <w:rPr>
          <w:rtl w:val="true"/>
          <w:lang w:val="en-IL" w:eastAsia="en-IL"/>
        </w:rPr>
        <w:t>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מאגד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הליכים</w:t>
      </w:r>
      <w:r>
        <w:rPr>
          <w:rtl w:val="true"/>
          <w:lang w:val="en-IL" w:eastAsia="en-IL"/>
        </w:rPr>
        <w:t xml:space="preserve">: </w:t>
      </w:r>
      <w:r>
        <w:rPr>
          <w:rtl w:val="true"/>
          <w:lang w:val="en-IL" w:eastAsia="en-IL"/>
        </w:rPr>
        <w:t>הראשון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שהוגש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</w:t>
      </w:r>
      <w:hyperlink r:id="rId16">
        <w:r>
          <w:rPr>
            <w:rStyle w:val="Hyperlink"/>
            <w:color w:val="0000FF"/>
            <w:u w:val="single"/>
            <w:rtl w:val="true"/>
            <w:lang w:val="en-IL" w:eastAsia="en-IL"/>
          </w:rPr>
          <w:t>ת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41952-02-22</w:t>
        </w:r>
      </w:hyperlink>
      <w:r>
        <w:rPr>
          <w:rtl w:val="true"/>
          <w:lang w:val="en-IL" w:eastAsia="en-IL"/>
        </w:rPr>
        <w:t xml:space="preserve"> 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</w:t>
      </w:r>
      <w:r>
        <w:rPr>
          <w:b/>
          <w:b/>
          <w:bCs/>
          <w:rtl w:val="true"/>
          <w:lang w:val="en-IL" w:eastAsia="en-IL"/>
        </w:rPr>
        <w:t>ההליך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הנוכחי</w:t>
      </w:r>
      <w:r>
        <w:rPr>
          <w:rtl w:val="true"/>
          <w:lang w:val="en-IL" w:eastAsia="en-IL"/>
        </w:rPr>
        <w:t xml:space="preserve">);  </w:t>
      </w:r>
      <w:r>
        <w:rPr>
          <w:rtl w:val="true"/>
          <w:lang w:val="en-IL" w:eastAsia="en-IL"/>
        </w:rPr>
        <w:t>השני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שהוגש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</w:t>
      </w:r>
      <w:hyperlink r:id="rId17">
        <w:r>
          <w:rPr>
            <w:rStyle w:val="Hyperlink"/>
            <w:color w:val="0000FF"/>
            <w:u w:val="single"/>
            <w:rtl w:val="true"/>
            <w:lang w:val="en-IL" w:eastAsia="en-IL"/>
          </w:rPr>
          <w:t>ת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55949-02-22</w:t>
        </w:r>
      </w:hyperlink>
      <w:r>
        <w:rPr>
          <w:rtl w:val="true"/>
          <w:lang w:val="en-IL" w:eastAsia="en-IL"/>
        </w:rPr>
        <w:t xml:space="preserve"> (</w:t>
      </w:r>
      <w:r>
        <w:rPr>
          <w:rtl w:val="true"/>
          <w:lang w:val="en-IL" w:eastAsia="en-IL"/>
        </w:rPr>
        <w:t>בבית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המחוזי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בנצרת</w:t>
      </w:r>
      <w:r>
        <w:rPr>
          <w:rtl w:val="true"/>
          <w:lang w:val="en-IL" w:eastAsia="en-IL"/>
        </w:rPr>
        <w:t>) 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 xml:space="preserve">: </w:t>
      </w:r>
      <w:r>
        <w:rPr>
          <w:b/>
          <w:b/>
          <w:bCs/>
          <w:rtl w:val="true"/>
          <w:lang w:val="en-IL" w:eastAsia="en-IL"/>
        </w:rPr>
        <w:t>ההליך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המצורף</w:t>
      </w:r>
      <w:r>
        <w:rPr>
          <w:rtl w:val="true"/>
          <w:lang w:val="en-IL" w:eastAsia="en-IL"/>
        </w:rPr>
        <w:t xml:space="preserve">). </w:t>
      </w:r>
      <w:r>
        <w:rPr>
          <w:rtl w:val="true"/>
          <w:lang w:val="en-IL" w:eastAsia="en-IL"/>
        </w:rPr>
        <w:t>בהליך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הנוכחי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כפר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בעובדות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והתקיים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לשמיעת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ראיות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שבסופו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הכרעת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הנוכחי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ביקש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לצרף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המצורף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בעקבות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הודאתו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בהסכמת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המאשימה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בהחלטתי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14.11.2022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הוריתי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צירוף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ההליכים</w:t>
      </w:r>
      <w:r>
        <w:rPr>
          <w:rtl w:val="true"/>
          <w:lang w:val="en-IL" w:eastAsia="en-IL"/>
        </w:rPr>
        <w:t>.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  <w:bookmarkStart w:id="10" w:name="ABSTRACT_END"/>
      <w:bookmarkStart w:id="11" w:name="ABSTRACT_END"/>
      <w:bookmarkEnd w:id="11"/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/>
      </w:pPr>
      <w:r>
        <w:rPr>
          <w:i/>
          <w:i/>
          <w:iCs/>
          <w:rtl w:val="true"/>
          <w:lang w:val="en-IL" w:eastAsia="en-IL"/>
        </w:rPr>
        <w:t>ההליך</w:t>
      </w:r>
      <w:r>
        <w:rPr>
          <w:rFonts w:cs="Times New Roman"/>
          <w:i/>
          <w:i/>
          <w:iCs/>
          <w:rtl w:val="true"/>
          <w:lang w:val="en-IL" w:eastAsia="en-IL"/>
        </w:rPr>
        <w:t xml:space="preserve"> </w:t>
      </w:r>
      <w:r>
        <w:rPr>
          <w:i/>
          <w:i/>
          <w:iCs/>
          <w:rtl w:val="true"/>
          <w:lang w:val="en-IL" w:eastAsia="en-IL"/>
        </w:rPr>
        <w:t>הנוכחי</w:t>
      </w:r>
      <w:r>
        <w:rPr>
          <w:i/>
          <w:iCs/>
          <w:rtl w:val="true"/>
          <w:lang w:val="en-IL" w:eastAsia="en-IL"/>
        </w:rPr>
        <w:t xml:space="preserve">: </w:t>
      </w:r>
      <w:hyperlink r:id="rId18">
        <w:r>
          <w:rPr>
            <w:rStyle w:val="Hyperlink"/>
            <w:i/>
            <w:i/>
            <w:iCs/>
            <w:color w:val="0000FF"/>
            <w:u w:val="single"/>
            <w:rtl w:val="true"/>
            <w:lang w:val="en-IL" w:eastAsia="en-IL"/>
          </w:rPr>
          <w:t>ת</w:t>
        </w:r>
        <w:r>
          <w:rPr>
            <w:rStyle w:val="Hyperlink"/>
            <w:i/>
            <w:iCs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i/>
            <w:i/>
            <w:iCs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i/>
            <w:i/>
            <w:iCs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i/>
            <w:iCs/>
            <w:color w:val="0000FF"/>
            <w:u w:val="single"/>
            <w:lang w:val="en-IL" w:eastAsia="en-IL"/>
          </w:rPr>
          <w:t>41952-02-22</w:t>
        </w:r>
      </w:hyperlink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/>
      </w:pPr>
      <w:hyperlink r:id="rId19">
        <w:r>
          <w:rPr>
            <w:rtl w:val="true"/>
          </w:rPr>
        </w:r>
      </w:hyperlink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0" w:start="0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בהליך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הנוכחי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כפר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ונוהל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הוכחות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שבסופו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ascii="David" w:hAnsi="David"/>
          <w:rtl w:val="true"/>
        </w:rPr>
        <w:t xml:space="preserve">של 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והובלת נשק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20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רישא וסיפא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שיבוש מהלכי 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2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והפרת הוראה חוקית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2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287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>.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למעשה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שיוחסו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ההרשעה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הייתה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בסיס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עובדתי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במעט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שצוין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tl w:val="true"/>
          <w:lang w:val="en-IL" w:eastAsia="en-IL"/>
        </w:rPr>
        <w:t>.</w:t>
      </w:r>
    </w:p>
    <w:p>
      <w:pPr>
        <w:pStyle w:val="ListParagraph"/>
        <w:ind w:end="0"/>
        <w:jc w:val="start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0" w:start="0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אלה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העובדות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שהיוו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בסיס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להרשעת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עולות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מהכרעת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הדין</w:t>
      </w:r>
      <w:r>
        <w:rPr>
          <w:rtl w:val="true"/>
          <w:lang w:val="en-IL" w:eastAsia="en-IL"/>
        </w:rPr>
        <w:t>:</w:t>
      </w:r>
    </w:p>
    <w:p>
      <w:pPr>
        <w:pStyle w:val="ListParagraph"/>
        <w:ind w:end="0"/>
        <w:jc w:val="start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lang w:val="en-IL" w:eastAsia="en-IL"/>
        </w:rPr>
      </w:pPr>
      <w:r>
        <w:rPr>
          <w:rFonts w:cs="David" w:ascii="David" w:hAnsi="David"/>
          <w:rtl w:val="true"/>
        </w:rPr>
        <w:t xml:space="preserve">(-)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24.1.2022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הורה בית משפט השלום בנצרת בתיק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מ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י </w:t>
        </w:r>
        <w:r>
          <w:rPr>
            <w:rStyle w:val="Hyperlink"/>
            <w:rFonts w:cs="David" w:ascii="David" w:hAnsi="David"/>
            <w:color w:val="0000FF"/>
            <w:u w:val="single"/>
          </w:rPr>
          <w:t>3442-01-22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בנוכחות הנאשם שהשתתף בדיון באמצעות היוועדות חזותית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על הנאשם לשהות במעצר בית מלא בבית</w:t>
      </w:r>
      <w:r>
        <w:rPr>
          <w:rFonts w:ascii="David" w:hAnsi="David"/>
          <w:rtl w:val="true"/>
        </w:rPr>
        <w:t xml:space="preserve">ו של </w:t>
      </w:r>
      <w:r>
        <w:rPr>
          <w:rFonts w:ascii="David" w:hAnsi="David"/>
          <w:rtl w:val="true"/>
        </w:rPr>
        <w:t>עבד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אלחמיד בוקאעי בטמרה וזאת עד ליום </w:t>
      </w:r>
      <w:r>
        <w:rPr>
          <w:rFonts w:cs="David" w:ascii="David" w:hAnsi="David"/>
        </w:rPr>
        <w:t>3.2.2022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וביום </w:t>
      </w:r>
      <w:r>
        <w:rPr>
          <w:rFonts w:cs="David" w:ascii="David" w:hAnsi="David"/>
        </w:rPr>
        <w:t>3.22.2022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הוחלט על הארכת תוקף התנאים המגבילים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עד ליום </w:t>
      </w:r>
      <w:r>
        <w:rPr>
          <w:rFonts w:cs="David" w:ascii="David" w:hAnsi="David"/>
        </w:rPr>
        <w:t>12.2.2022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חל מהמועד בו ניתנה החלטת בית המשפט ביום </w:t>
      </w:r>
      <w:r>
        <w:rPr>
          <w:rFonts w:cs="David" w:ascii="David" w:hAnsi="David"/>
        </w:rPr>
        <w:t>3.2.2022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למעצרו בתיק </w:t>
      </w:r>
      <w:r>
        <w:rPr>
          <w:rFonts w:ascii="David" w:hAnsi="David"/>
          <w:rtl w:val="true"/>
        </w:rPr>
        <w:t>הנוכחי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בשעות הערב של יום </w:t>
      </w:r>
      <w:r>
        <w:rPr>
          <w:rFonts w:cs="David" w:ascii="David" w:hAnsi="David"/>
        </w:rPr>
        <w:t>7.2.2022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שהה הנאשם בבית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בניגוד להחלטת בית המשפט ותוך שהוא מפר אותה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lang w:val="en-IL" w:eastAsia="en-IL"/>
        </w:rPr>
      </w:pPr>
      <w:r>
        <w:rPr>
          <w:rFonts w:cs="David" w:ascii="David" w:hAnsi="David"/>
          <w:rtl w:val="true"/>
        </w:rPr>
        <w:t xml:space="preserve">(-) 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7.2.2022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לפני השעה </w:t>
      </w:r>
      <w:r>
        <w:rPr>
          <w:rFonts w:cs="David" w:ascii="David" w:hAnsi="David"/>
        </w:rPr>
        <w:t>22:48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רכבו הנאשם ומנסור אמארה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מנסור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על קטנוע שחור מדגם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דאון טאון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הקטנוע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בטמרה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כשמנסור נוהג בקטנוע והנאשם </w:t>
      </w:r>
      <w:r>
        <w:rPr>
          <w:rFonts w:ascii="David" w:hAnsi="David"/>
          <w:rtl w:val="true"/>
        </w:rPr>
        <w:t xml:space="preserve">רוכב </w:t>
      </w:r>
      <w:r>
        <w:rPr>
          <w:rFonts w:ascii="David" w:hAnsi="David"/>
          <w:rtl w:val="true"/>
        </w:rPr>
        <w:t>מאחוריו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pacing w:lineRule="auto" w:line="360" w:before="0" w:after="160"/>
        <w:ind w:firstLine="56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 xml:space="preserve">(-) </w:t>
      </w:r>
      <w:r>
        <w:rPr>
          <w:rFonts w:ascii="David" w:hAnsi="David"/>
          <w:rtl w:val="true"/>
        </w:rPr>
        <w:t>באותה 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סיירו בטמרה </w:t>
      </w:r>
      <w:r>
        <w:rPr>
          <w:rFonts w:ascii="David" w:hAnsi="David"/>
          <w:rtl w:val="true"/>
        </w:rPr>
        <w:t xml:space="preserve">שני </w:t>
      </w:r>
      <w:r>
        <w:rPr>
          <w:rFonts w:ascii="David" w:hAnsi="David"/>
          <w:rtl w:val="true"/>
        </w:rPr>
        <w:t>שוטרים כשהם לבושים מדי 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בניידת טנדר משטרתית 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 בהתאמה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השוטרים</w:t>
      </w:r>
      <w:r>
        <w:rPr>
          <w:rFonts w:ascii="David" w:hAnsi="David"/>
          <w:rtl w:val="true"/>
        </w:rPr>
        <w:t xml:space="preserve"> 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הניידת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השוטרים נעמדו עם הניידת בשכונת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אלחמרה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בצומת סמוך לדרך עפר המובילה לישוב מצפה אביב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הצומת</w:t>
      </w:r>
      <w:r>
        <w:rPr>
          <w:rFonts w:ascii="David" w:hAnsi="David"/>
          <w:rtl w:val="true"/>
        </w:rPr>
        <w:t xml:space="preserve"> 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דרך העפר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22:48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התקרבו מנסור והנאשם עם הקטנוע לצומת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משהבחינו בניידת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ומנסור סטו שמאלה מכיוון נסיעתם ונכנסו לדרך העפר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firstLine="56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firstLine="56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 xml:space="preserve">(-) </w:t>
      </w:r>
      <w:r>
        <w:rPr>
          <w:rFonts w:ascii="David" w:hAnsi="David"/>
          <w:rtl w:val="true"/>
        </w:rPr>
        <w:t>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הבחינו בהתנהלות הנאשם ומנסור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הדליקו את האורות הכחולים בחלק העליון של הניידת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והחלו לנסוע אחרי הנאשם ומנסור בדרך העפר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– תוך שהם כורזים להם לעצור בצד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מנסור התעל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מקריאות השוטרים והמשי</w:t>
      </w:r>
      <w:r>
        <w:rPr>
          <w:rFonts w:ascii="David" w:hAnsi="David"/>
          <w:rtl w:val="true"/>
        </w:rPr>
        <w:t>ך</w:t>
      </w:r>
      <w:r>
        <w:rPr>
          <w:rFonts w:ascii="David" w:hAnsi="David"/>
          <w:rtl w:val="true"/>
        </w:rPr>
        <w:t xml:space="preserve"> בנסיעה בדרך העפר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56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firstLine="56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 xml:space="preserve">(-) </w:t>
      </w:r>
      <w:r>
        <w:rPr>
          <w:rFonts w:ascii="David" w:hAnsi="David"/>
          <w:rtl w:val="true"/>
        </w:rPr>
        <w:t>במהלך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נסיעה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השליך</w:t>
      </w:r>
      <w:r>
        <w:rPr>
          <w:rFonts w:ascii="David" w:hAnsi="David"/>
          <w:rtl w:val="true"/>
        </w:rPr>
        <w:t xml:space="preserve"> לצדי דרך העפר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אקדח  שחור חצי אוטומטי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סטאר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כשהוא טעון במחסנית ובה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תואמים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 בהתאמה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האקדח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המחסנית</w:t>
      </w:r>
      <w:r>
        <w:rPr>
          <w:rFonts w:ascii="David" w:hAnsi="David"/>
          <w:rtl w:val="true"/>
        </w:rPr>
        <w:t xml:space="preserve">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הכדורים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הבחינו בהשלכת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עקפו במהירות את הקטנוע וחסמו את דרכו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בשלב זה מנסור עצר את הקטנוע והשוטרים עצרו אותו ואת הנאשם ותפסו את האקדח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טעון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  <w:rtl w:val="true"/>
        </w:rPr>
        <w:t xml:space="preserve">(-) </w:t>
      </w:r>
      <w:r>
        <w:rPr>
          <w:rFonts w:ascii="David" w:hAnsi="David"/>
          <w:rtl w:val="true"/>
        </w:rPr>
        <w:t>בעוד שבכתב האישום נטען כי לאורך כל הנסיעה הנאשם נשא את האקדח על גופו באזור הבטן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בהכרעת הדין קבעתי כי </w:t>
      </w:r>
      <w:r>
        <w:rPr>
          <w:rFonts w:ascii="David" w:hAnsi="David"/>
          <w:rtl w:val="true"/>
        </w:rPr>
        <w:t xml:space="preserve">קיים ספק לגבי </w:t>
      </w:r>
      <w:r>
        <w:rPr>
          <w:rFonts w:ascii="David" w:hAnsi="David"/>
          <w:rtl w:val="true"/>
        </w:rPr>
        <w:t>התיאור לפיו ע</w:t>
      </w:r>
      <w:r>
        <w:rPr>
          <w:rFonts w:ascii="David" w:hAnsi="David"/>
          <w:rtl w:val="true"/>
        </w:rPr>
        <w:t>ובר להשלכת האקדח על ידי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היה האקדח </w:t>
      </w:r>
      <w:r>
        <w:rPr>
          <w:rFonts w:ascii="David" w:hAnsi="David"/>
          <w:b/>
          <w:b/>
          <w:bCs/>
          <w:rtl w:val="true"/>
        </w:rPr>
        <w:t>כל העת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גופו</w:t>
      </w:r>
      <w:r>
        <w:rPr>
          <w:rFonts w:ascii="David" w:hAnsi="David"/>
          <w:rtl w:val="true"/>
        </w:rPr>
        <w:t xml:space="preserve"> של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וכי עשוי להיכו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תרחיש חלופי סביר לפיו הנשק היה על גופו של מנסור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בשלב מסוים של הנסיעה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שהשניים הבחינו בשוטרים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נטל את הנשק לידיו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ביוזמתו ובין לבקשת מנסור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והשליכו</w:t>
      </w:r>
      <w:r>
        <w:rPr>
          <w:rFonts w:ascii="David" w:hAnsi="David"/>
          <w:rtl w:val="true"/>
        </w:rPr>
        <w:t xml:space="preserve"> לצדי הדרך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יודגש כי לא היה במסקנה עובדתית זו כדי למלט את הנאשם מהרשעה בעבירת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בהכרעת הדין קבעתי כי אף לפי תרחיש זה – הנאשם ביצע את עבירת הנשק שיוחסה 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360" w:before="0" w:after="16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  <w:rtl w:val="true"/>
        </w:rPr>
        <w:t xml:space="preserve">(-) </w:t>
      </w:r>
      <w:r>
        <w:rPr>
          <w:rFonts w:ascii="David" w:hAnsi="David"/>
          <w:rtl w:val="true"/>
        </w:rPr>
        <w:t>לעניין העבירה של שיבוש מהלכי 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בהכרעת הדין קבעתי כי יש להרשיע את הנאשם בעבירה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לא בזיקה לטענה העובדתית כי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קטנוע התחמק מהשוטרים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רק בזיקה למעשה השלכת האקדח על ידי הנאשם בזמן שהניידת נסעה אחרי הקטנוע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lang w:val="en-IL" w:eastAsia="en-IL"/>
        </w:rPr>
      </w:pPr>
      <w:r>
        <w:rPr>
          <w:rFonts w:cs="David" w:ascii="David" w:hAnsi="David"/>
          <w:b/>
          <w:bCs/>
          <w:rtl w:val="true"/>
          <w:lang w:val="en-IL" w:eastAsia="en-IL"/>
        </w:rPr>
      </w:r>
    </w:p>
    <w:p>
      <w:pPr>
        <w:pStyle w:val="Normal"/>
        <w:ind w:end="0"/>
        <w:jc w:val="start"/>
        <w:rPr/>
      </w:pPr>
      <w:r>
        <w:rPr>
          <w:rFonts w:ascii="Arial" w:hAnsi="Arial" w:cs="Arial"/>
          <w:i/>
          <w:i/>
          <w:iCs/>
          <w:rtl w:val="true"/>
        </w:rPr>
        <w:t>ההליך המצורף</w:t>
      </w:r>
      <w:r>
        <w:rPr>
          <w:rFonts w:cs="Arial" w:ascii="Arial" w:hAnsi="Arial"/>
          <w:i/>
          <w:iCs/>
          <w:rtl w:val="true"/>
        </w:rPr>
        <w:t xml:space="preserve">: </w:t>
      </w:r>
      <w:hyperlink r:id="rId25">
        <w:r>
          <w:rPr>
            <w:rStyle w:val="Hyperlink"/>
            <w:rFonts w:ascii="Arial" w:hAnsi="Arial" w:cs="Arial"/>
            <w:i/>
            <w:i/>
            <w:iCs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i/>
            <w:i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i/>
            <w:i/>
            <w:i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i/>
            <w:iCs/>
            <w:color w:val="0000FF"/>
            <w:u w:val="single"/>
          </w:rPr>
          <w:t>55949-02-22</w:t>
        </w:r>
      </w:hyperlink>
    </w:p>
    <w:p>
      <w:pPr>
        <w:pStyle w:val="Normal"/>
        <w:ind w:end="0"/>
        <w:jc w:val="start"/>
        <w:rPr/>
      </w:pPr>
      <w:hyperlink r:id="rId26">
        <w:r>
          <w:rPr>
            <w:rtl w:val="true"/>
          </w:rPr>
        </w:r>
      </w:hyperlink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0" w:start="0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במסגרת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המצורף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מתוקן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סיוע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לנשיאת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ולהובלתו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לפי</w:t>
      </w:r>
      <w:r>
        <w:rPr>
          <w:rFonts w:cs="Times New Roman"/>
          <w:rtl w:val="true"/>
          <w:lang w:val="en-IL" w:eastAsia="en-IL"/>
        </w:rPr>
        <w:t xml:space="preserve"> </w:t>
      </w:r>
      <w:hyperlink r:id="rId27">
        <w:r>
          <w:rPr>
            <w:rStyle w:val="Hyperlink"/>
            <w:rtl w:val="true"/>
            <w:lang w:val="en-IL" w:eastAsia="en-IL"/>
          </w:rPr>
          <w:t>סעיף</w:t>
        </w:r>
        <w:r>
          <w:rPr>
            <w:rStyle w:val="Hyperlink"/>
            <w:rFonts w:cs="Times New Roman"/>
            <w:rtl w:val="true"/>
            <w:lang w:val="en-IL" w:eastAsia="en-IL"/>
          </w:rPr>
          <w:t xml:space="preserve"> </w:t>
        </w:r>
        <w:r>
          <w:rPr>
            <w:rStyle w:val="Hyperlink"/>
            <w:lang w:val="en-IL" w:eastAsia="en-IL"/>
          </w:rPr>
          <w:t>144</w:t>
        </w:r>
        <w:r>
          <w:rPr>
            <w:rStyle w:val="Hyperlink"/>
            <w:rtl w:val="true"/>
            <w:lang w:val="en-IL" w:eastAsia="en-IL"/>
          </w:rPr>
          <w:t>(</w:t>
        </w:r>
        <w:r>
          <w:rPr>
            <w:rStyle w:val="Hyperlink"/>
            <w:rtl w:val="true"/>
            <w:lang w:val="en-IL" w:eastAsia="en-IL"/>
          </w:rPr>
          <w:t>ב</w:t>
        </w:r>
        <w:r>
          <w:rPr>
            <w:rStyle w:val="Hyperlink"/>
            <w:rtl w:val="true"/>
            <w:lang w:val="en-IL" w:eastAsia="en-IL"/>
          </w:rPr>
          <w:t>)</w:t>
        </w:r>
      </w:hyperlink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בשילוב</w:t>
      </w:r>
      <w:r>
        <w:rPr>
          <w:rFonts w:cs="Times New Roman"/>
          <w:rtl w:val="true"/>
          <w:lang w:val="en-IL" w:eastAsia="en-IL"/>
        </w:rPr>
        <w:t xml:space="preserve"> </w:t>
      </w:r>
      <w:hyperlink r:id="rId28">
        <w:r>
          <w:rPr>
            <w:rStyle w:val="Hyperlink"/>
            <w:rtl w:val="true"/>
            <w:lang w:val="en-IL" w:eastAsia="en-IL"/>
          </w:rPr>
          <w:t>סעיף</w:t>
        </w:r>
        <w:r>
          <w:rPr>
            <w:rStyle w:val="Hyperlink"/>
            <w:rFonts w:cs="Times New Roman"/>
            <w:rtl w:val="true"/>
            <w:lang w:val="en-IL" w:eastAsia="en-IL"/>
          </w:rPr>
          <w:t xml:space="preserve"> </w:t>
        </w:r>
        <w:r>
          <w:rPr>
            <w:rStyle w:val="Hyperlink"/>
            <w:lang w:val="en-IL" w:eastAsia="en-IL"/>
          </w:rPr>
          <w:t>31</w:t>
        </w:r>
      </w:hyperlink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hyperlink r:id="rId29">
        <w:r>
          <w:rPr>
            <w:rStyle w:val="Hyperlink"/>
            <w:color w:val="0000FF"/>
            <w:u w:val="single"/>
            <w:rtl w:val="true"/>
            <w:lang w:val="en-IL" w:eastAsia="en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העונשין</w:t>
        </w:r>
      </w:hyperlink>
      <w:r>
        <w:rPr>
          <w:rtl w:val="true"/>
          <w:lang w:val="en-IL" w:eastAsia="en-IL"/>
        </w:rPr>
        <w:t>.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0" w:start="0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עובדות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המצורף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ביום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2.1.2022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בסמוך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18:30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נסע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פרטי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מסוג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סקודה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נהוג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באותה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כשברכב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אקדח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חצי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אוטומטי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דמוי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cz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בקוטר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9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מ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המהווה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כהגדרתו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בחוק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מחסנית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מתאימה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בהגיע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למחלף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טורעאן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זיהה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כוחות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משטרה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שביצעו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חסימה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במקום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יצא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מהמושב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האחורי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ונמלט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בריצה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מהמקום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כעבור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מרדף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קצר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עצר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בעשבייה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שהייתה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במקום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וניסה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להסתתר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כשבסמוך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האקדח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והמחסנית</w:t>
      </w:r>
      <w:r>
        <w:rPr>
          <w:rtl w:val="true"/>
          <w:lang w:val="en-IL" w:eastAsia="en-IL"/>
        </w:rPr>
        <w:t>.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b/>
          <w:bCs/>
          <w:lang w:val="en-IL" w:eastAsia="en-IL"/>
        </w:rPr>
      </w:pPr>
      <w:r>
        <w:rPr>
          <w:b/>
          <w:b/>
          <w:bCs/>
          <w:rtl w:val="true"/>
          <w:lang w:val="en-IL" w:eastAsia="en-IL"/>
        </w:rPr>
        <w:t>מהלך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הדיון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0" w:start="0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בעוד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שבהליך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הנוכחי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הרשעת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במסגרת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הכרעת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שניתנה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15.9.2022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ניהול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הוכחות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ההרשעה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המצורף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הייתה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בעקבות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הודאת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מתוקן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ראו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הכרעת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שניתנה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7.11.20022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שבוטלה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מטעמים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פורמאליים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הכרעת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שניתנה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המחוזי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בנצרת</w:t>
      </w:r>
      <w:r>
        <w:rPr>
          <w:rtl w:val="true"/>
          <w:lang w:val="en-IL" w:eastAsia="en-IL"/>
        </w:rPr>
        <w:t xml:space="preserve">). 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0" w:start="0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במסגרת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ההליכים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עניינו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יצוין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גילו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לקבל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תסקיר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נסקור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אפוא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להלן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תסקירי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שניתנו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ביחס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ההליכים</w:t>
      </w:r>
      <w:r>
        <w:rPr>
          <w:rtl w:val="true"/>
          <w:lang w:val="en-IL" w:eastAsia="en-IL"/>
        </w:rPr>
        <w:t>.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/>
      </w:pPr>
      <w:r>
        <w:rPr>
          <w:b/>
          <w:b/>
          <w:bCs/>
          <w:rtl w:val="true"/>
          <w:lang w:val="en-IL" w:eastAsia="en-IL"/>
        </w:rPr>
        <w:t>תסקיר</w:t>
      </w:r>
      <w:r>
        <w:rPr>
          <w:b/>
          <w:b/>
          <w:bCs/>
          <w:rtl w:val="true"/>
          <w:lang w:val="en-IL" w:eastAsia="en-IL"/>
        </w:rPr>
        <w:t>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שירות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המבחן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0" w:start="0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מבחינה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כרונולוגית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תחילה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ניתן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תסקיר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לגבי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המצורף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תסקיר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14.9.2022</w:t>
      </w:r>
      <w:r>
        <w:rPr>
          <w:rtl w:val="true"/>
          <w:lang w:val="en-IL" w:eastAsia="en-IL"/>
        </w:rPr>
        <w:t xml:space="preserve">), </w:t>
      </w:r>
      <w:r>
        <w:rPr>
          <w:rtl w:val="true"/>
          <w:lang w:val="en-IL" w:eastAsia="en-IL"/>
        </w:rPr>
        <w:t>שהוגש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המחוזי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בנצרת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בתסקיר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סקר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נסיבותיו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מצבו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והמשפחתי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היתר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צוין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רווק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לפני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מעצרו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התגורר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הוריו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וסמוך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למעצרו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רקע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פציעתו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באירוע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שהתרחש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בחודש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ספטמבר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2021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ובהקשר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צוין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מצבו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הרפואי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בפני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מתקשה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להסתגל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לתנאי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המעצר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הבחין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במצוקה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אקוטית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הנובעת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מתנאי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המעצר</w:t>
      </w:r>
      <w:r>
        <w:rPr>
          <w:rtl w:val="true"/>
          <w:lang w:val="en-IL" w:eastAsia="en-IL"/>
        </w:rPr>
        <w:t>.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בהתייחסו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לעבירה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קיבל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פורמלית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בלבד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התרשם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מבטא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התייחסות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קוהרנטית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לגבי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אחריותו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למעורבותו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מגלה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עמדה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מצמצמת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הקשור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לאחריותו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כמו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צוין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הצליח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להתחבר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להתבונן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בדפוסי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התנהגותו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שעמדו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בבסיס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התנהלותו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נוסף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לכך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מצא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קיימים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סימנים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פיתח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דפוס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התנהגות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עברייני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שכולל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זיקה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חיבור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לחבורה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שולית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וקושי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בקבלת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גבולות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החוק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lang w:val="en-IL" w:eastAsia="en-IL"/>
        </w:rPr>
      </w:pPr>
      <w:r>
        <w:rPr>
          <w:rFonts w:cs="Times New Roman"/>
          <w:rtl w:val="true"/>
          <w:lang w:val="en-IL" w:eastAsia="en-IL"/>
        </w:rPr>
        <w:t xml:space="preserve">  </w:t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עמד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קווי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אישיותו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האופפות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ויחסו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אליהן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מצא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קיימת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רמת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סיכון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ומסוכנות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גבוהה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להישנות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התנהגות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עוברת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בעתיד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לפיכך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ולנוכח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קיומה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פרוגנוזה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שיקומית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נמוכה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נמנע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מהמלצה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טיפולית</w:t>
      </w:r>
      <w:r>
        <w:rPr>
          <w:rtl w:val="true"/>
          <w:lang w:val="en-IL" w:eastAsia="en-IL"/>
        </w:rPr>
        <w:t>.</w:t>
      </w:r>
    </w:p>
    <w:p>
      <w:pPr>
        <w:pStyle w:val="ListParagraph"/>
        <w:ind w:end="0"/>
        <w:jc w:val="start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0" w:start="0" w:end="0"/>
        <w:contextualSpacing/>
        <w:jc w:val="both"/>
        <w:rPr>
          <w:lang w:val="en-IL" w:eastAsia="en-IL"/>
        </w:rPr>
      </w:pP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בתסקיר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משלים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12.12.2022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שהוגש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הנוכחי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וציין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נסיבותיו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ונתוניו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והפנה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לאמור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בתסקיר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הקודם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שיחה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נוספת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ביטא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קושי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להסתגל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למעצר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בעיקר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נוכח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קבלת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טיפול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רפואי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הולם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לטענתו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ביחס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מושא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הנוכחי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קיבל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פורמאלית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וכללית</w:t>
      </w:r>
      <w:r>
        <w:rPr>
          <w:rtl w:val="true"/>
          <w:lang w:val="en-IL" w:eastAsia="en-IL"/>
        </w:rPr>
        <w:t xml:space="preserve">"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התנהגותו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וטען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תנאי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מעצר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לקבל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טיפול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רפואי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התקשה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להסביר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הסיבה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בגינה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הוסיף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וציין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מתחרט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מעשיו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בחוויתו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נבעו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התנהלות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ילדותית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וחסרת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בשלות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לקח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ברצונו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מחיר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מעשיו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זאת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התרשם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למורכבות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ולסיכון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במעשיו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מתקשה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לקבל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אקטיבית</w:t>
      </w:r>
      <w:r>
        <w:rPr>
          <w:rtl w:val="true"/>
          <w:lang w:val="en-IL" w:eastAsia="en-IL"/>
        </w:rPr>
        <w:t xml:space="preserve">"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מעשיו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ששב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העניין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מצא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שינוי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בתפיסותיו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ועמדותיו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הערכת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הסיכון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נותרה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כשהייתה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לפיכך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חזר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המלצתו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ונמנע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מהמלצה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שיקומית</w:t>
      </w:r>
      <w:r>
        <w:rPr>
          <w:rtl w:val="true"/>
          <w:lang w:val="en-IL" w:eastAsia="en-IL"/>
        </w:rPr>
        <w:t>.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b/>
          <w:bCs/>
          <w:lang w:val="en-IL" w:eastAsia="en-IL"/>
        </w:rPr>
      </w:pPr>
      <w:r>
        <w:rPr>
          <w:b/>
          <w:b/>
          <w:bCs/>
          <w:rtl w:val="true"/>
          <w:lang w:val="en-IL" w:eastAsia="en-IL"/>
        </w:rPr>
        <w:t>ראיות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וטיעוני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הצדדים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לעונש</w:t>
      </w:r>
    </w:p>
    <w:p>
      <w:pPr>
        <w:pStyle w:val="Normal"/>
        <w:suppressLineNumbers/>
        <w:spacing w:lineRule="auto" w:line="360"/>
        <w:ind w:hanging="720" w:start="720" w:end="0"/>
        <w:jc w:val="both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0" w:start="0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בפתח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הדברים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יצוין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לטענת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המאשימה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לקבוע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נפרד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תיק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במסגרת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טיעוניה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לעונש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המאשימה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עמדה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הערכים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החברתיים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המוגנים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שביסוד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ההליכים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והתייחסה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לפגיעה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בערכים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כמו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הפנתה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המאשימה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לחומרתן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לצורך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בהוקעת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אלו</w:t>
      </w:r>
      <w:r>
        <w:rPr>
          <w:rtl w:val="true"/>
          <w:lang w:val="en-IL" w:eastAsia="en-IL"/>
        </w:rPr>
        <w:t xml:space="preserve">; </w:t>
      </w:r>
      <w:r>
        <w:rPr>
          <w:rtl w:val="true"/>
          <w:lang w:val="en-IL" w:eastAsia="en-IL"/>
        </w:rPr>
        <w:t>למגמת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ההחמרה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המסתמנת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אלו</w:t>
      </w:r>
      <w:r>
        <w:rPr>
          <w:rtl w:val="true"/>
          <w:lang w:val="en-IL" w:eastAsia="en-IL"/>
        </w:rPr>
        <w:t xml:space="preserve">; </w:t>
      </w:r>
      <w:r>
        <w:rPr>
          <w:rtl w:val="true"/>
          <w:lang w:val="en-IL" w:eastAsia="en-IL"/>
        </w:rPr>
        <w:t>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והפנתה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לתיקון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140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hyperlink r:id="rId30">
        <w:r>
          <w:rPr>
            <w:rStyle w:val="Hyperlink"/>
            <w:color w:val="0000FF"/>
            <w:u w:val="single"/>
            <w:rtl w:val="true"/>
            <w:lang w:val="en-IL" w:eastAsia="en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העונשין</w:t>
        </w:r>
      </w:hyperlink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מקבע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החובה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להטיל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מזערי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נוסף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לכך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הפנתה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המאשימה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להנחיות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פרקליט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המדינה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בנושא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tl w:val="true"/>
          <w:lang w:val="en-IL" w:eastAsia="en-IL"/>
        </w:rPr>
        <w:t>.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המאשימה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הפנתה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העבירות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עולות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מהכרעת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שניתנה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הנוכחי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ומעובדות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המתוקן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המצורף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וביקשה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לראות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כנושאות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חומרה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לשיטת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המאשימה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נטל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חלק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מרכזי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העבירות</w:t>
      </w:r>
      <w:r>
        <w:rPr>
          <w:rtl w:val="true"/>
          <w:lang w:val="en-IL" w:eastAsia="en-IL"/>
        </w:rPr>
        <w:t xml:space="preserve">; </w:t>
      </w:r>
      <w:r>
        <w:rPr>
          <w:rtl w:val="true"/>
          <w:lang w:val="en-IL" w:eastAsia="en-IL"/>
        </w:rPr>
        <w:t>בשל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גילו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מודע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היטב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למעשיו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ולחומרתם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ויכול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להימנע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מביצועם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תחת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ביצע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הפעלת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שיקול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דעת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כמו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טענה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המאשימה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הנזק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הפוטנציאלי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שעלול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להיגרם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רב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שהאקדח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טעון</w:t>
      </w:r>
      <w:r>
        <w:rPr>
          <w:rtl w:val="true"/>
          <w:lang w:val="en-IL" w:eastAsia="en-IL"/>
        </w:rPr>
        <w:t xml:space="preserve">.  </w:t>
      </w:r>
      <w:r>
        <w:rPr>
          <w:rtl w:val="true"/>
          <w:lang w:val="en-IL" w:eastAsia="en-IL"/>
        </w:rPr>
        <w:t>זאת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ועוד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המאשימה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ביקשה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ללמוד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חומרה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שעולה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שעניינה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חוקית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המאשימה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הגישה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אסופת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פסיקה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לעמדתה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ניתן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ממנה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ללמוד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לגבי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מדיניות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הנוהגת</w:t>
      </w:r>
      <w:r>
        <w:rPr>
          <w:rtl w:val="true"/>
          <w:lang w:val="en-IL" w:eastAsia="en-IL"/>
        </w:rPr>
        <w:t>.</w:t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שהמאשימה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עמדה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הערכים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המוגנים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ומידת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הפגיעה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והפנתה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למדיניות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הנוהגת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הציעה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לקבוע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המתחמים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הבאים</w:t>
      </w:r>
      <w:r>
        <w:rPr>
          <w:rtl w:val="true"/>
          <w:lang w:val="en-IL" w:eastAsia="en-IL"/>
        </w:rPr>
        <w:t xml:space="preserve">: </w:t>
      </w:r>
      <w:r>
        <w:rPr>
          <w:rtl w:val="true"/>
          <w:lang w:val="en-IL" w:eastAsia="en-IL"/>
        </w:rPr>
        <w:t>לגבי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הנוכחי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>-</w:t>
      </w:r>
      <w:r>
        <w:rPr>
          <w:lang w:val="en-IL" w:eastAsia="en-IL"/>
        </w:rPr>
        <w:t>60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בפעול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תנאי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וקנס</w:t>
      </w:r>
      <w:r>
        <w:rPr>
          <w:rtl w:val="true"/>
          <w:lang w:val="en-IL" w:eastAsia="en-IL"/>
        </w:rPr>
        <w:t xml:space="preserve">; </w:t>
      </w:r>
      <w:r>
        <w:rPr>
          <w:rtl w:val="true"/>
          <w:lang w:val="en-IL" w:eastAsia="en-IL"/>
        </w:rPr>
        <w:t>ולגבי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המצורף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>-</w:t>
      </w:r>
      <w:r>
        <w:rPr>
          <w:lang w:val="en-IL" w:eastAsia="en-IL"/>
        </w:rPr>
        <w:t>30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תנאי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וקנס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הואיל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מהתיקים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כולל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הרשעה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לטענת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המאשימה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ללמד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חומרה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ולהצדיק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צבירת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שיוטלו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המתחמים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שאינן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קשורות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המאשימה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הפנתה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לנסיבותיו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ובכלל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לגילו</w:t>
      </w:r>
      <w:r>
        <w:rPr>
          <w:rtl w:val="true"/>
          <w:lang w:val="en-IL" w:eastAsia="en-IL"/>
        </w:rPr>
        <w:t xml:space="preserve">; </w:t>
      </w:r>
      <w:r>
        <w:rPr>
          <w:rtl w:val="true"/>
          <w:lang w:val="en-IL" w:eastAsia="en-IL"/>
        </w:rPr>
        <w:t>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לעובדה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הנוכחי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ניהול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הוכחות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המצורף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הודאתו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מתוקן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כמו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המאשימה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התייחסה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לתסקירי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שהוגשו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בעניינו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שהוגדרו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כנושאים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שלילי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נטען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מהתסקירים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חומרת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העבירות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נטל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פורמלית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רמת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המסוכנות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הנשקפת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ממנו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הוערכה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כגבוהה</w:t>
      </w:r>
      <w:r>
        <w:rPr>
          <w:rtl w:val="true"/>
          <w:lang w:val="en-IL" w:eastAsia="en-IL"/>
        </w:rPr>
        <w:t>.</w:t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lang w:val="en-IL" w:eastAsia="en-IL"/>
        </w:rPr>
      </w:pPr>
      <w:r>
        <w:rPr>
          <w:rFonts w:cs="Times New Roman"/>
          <w:rtl w:val="true"/>
          <w:lang w:val="en-IL" w:eastAsia="en-IL"/>
        </w:rPr>
        <w:t xml:space="preserve">  </w:t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לסיכום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ביקשה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המאשימה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להטיל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הבינוני</w:t>
      </w:r>
      <w:r>
        <w:rPr>
          <w:rtl w:val="true"/>
          <w:lang w:val="en-IL" w:eastAsia="en-IL"/>
        </w:rPr>
        <w:t>-</w:t>
      </w:r>
      <w:r>
        <w:rPr>
          <w:rtl w:val="true"/>
          <w:lang w:val="en-IL" w:eastAsia="en-IL"/>
        </w:rPr>
        <w:t>תחתון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לקבוע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יוטלו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במצטבר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לשני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0" w:start="0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הסנגורים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טענו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ואביא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דבריהם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במשולב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הסנגורים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טענו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לראות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התיקים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כאירוע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לקבוע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לשיטתם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מסקנה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ניתן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ללמוד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מהקרבה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בזמן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האירועים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העובדה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המדובר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בשניהם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והעובדה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המצורף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שהיה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מבחינת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רצף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הזמן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בוצע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במעצר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המצורף</w:t>
      </w:r>
      <w:r>
        <w:rPr>
          <w:rtl w:val="true"/>
          <w:lang w:val="en-IL" w:eastAsia="en-IL"/>
        </w:rPr>
        <w:t>.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לשיטת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הסנגורים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הקשורות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ביחס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הנוכחי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אינן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חמורות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נושקות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להחזקת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חלף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נשיאתו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לדבריהם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עולה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מהכרעת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החזקת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הייתה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לתקופה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קצהר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במהלך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נסיעה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מטרים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בודדים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השליטה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הקטנוע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הייתה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הנהג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המצורף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נטען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חלקו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התמצה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בסיוע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לפיכך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חלקו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בכלל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האירועים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מרכזי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כמו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נטען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הסנגורים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גרמו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נזק</w:t>
      </w:r>
      <w:r>
        <w:rPr>
          <w:rtl w:val="true"/>
          <w:lang w:val="en-IL" w:eastAsia="en-IL"/>
        </w:rPr>
        <w:t>.</w:t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הסנגורים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הגישו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פסיקה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לטענתם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ניתן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ללמוד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ממנה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מדיניות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הנוהגת</w:t>
      </w:r>
      <w:r>
        <w:rPr>
          <w:rtl w:val="true"/>
          <w:lang w:val="en-IL" w:eastAsia="en-IL"/>
        </w:rPr>
        <w:t xml:space="preserve">; </w:t>
      </w:r>
      <w:r>
        <w:rPr>
          <w:rtl w:val="true"/>
          <w:lang w:val="en-IL" w:eastAsia="en-IL"/>
        </w:rPr>
        <w:t>הוסיפו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ופירטו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נסיבותיהם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חלק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מהמקרים</w:t>
      </w:r>
      <w:r>
        <w:rPr>
          <w:rtl w:val="true"/>
          <w:lang w:val="en-IL" w:eastAsia="en-IL"/>
        </w:rPr>
        <w:t xml:space="preserve">; </w:t>
      </w:r>
      <w:r>
        <w:rPr>
          <w:rtl w:val="true"/>
          <w:lang w:val="en-IL" w:eastAsia="en-IL"/>
        </w:rPr>
        <w:t>וביקשו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ללמד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גזירה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שווה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לענייננו</w:t>
      </w:r>
      <w:r>
        <w:rPr>
          <w:rtl w:val="true"/>
          <w:lang w:val="en-IL" w:eastAsia="en-IL"/>
        </w:rPr>
        <w:t>.</w:t>
      </w:r>
    </w:p>
    <w:p>
      <w:pPr>
        <w:pStyle w:val="ListParagraph"/>
        <w:ind w:end="0"/>
        <w:jc w:val="start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הסנגורים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הציעו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אפוא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לגישת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הסנגורים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לקבוע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המקרים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קנס</w:t>
      </w:r>
      <w:r>
        <w:rPr>
          <w:rtl w:val="true"/>
          <w:lang w:val="en-IL" w:eastAsia="en-IL"/>
        </w:rPr>
        <w:t xml:space="preserve">; </w:t>
      </w:r>
      <w:r>
        <w:rPr>
          <w:rtl w:val="true"/>
          <w:lang w:val="en-IL" w:eastAsia="en-IL"/>
        </w:rPr>
        <w:t>ואילו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הסנגור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התייחס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המצורף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בלבד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והציע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מספר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בודד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ועד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ייקבע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המקרים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מגלמים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אירוע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tl w:val="true"/>
          <w:lang w:val="en-IL" w:eastAsia="en-IL"/>
        </w:rPr>
        <w:t>.</w:t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lang w:val="en-IL" w:eastAsia="en-IL"/>
        </w:rPr>
      </w:pPr>
      <w:r>
        <w:rPr>
          <w:rFonts w:cs="Times New Roman"/>
          <w:rtl w:val="true"/>
          <w:lang w:val="en-IL" w:eastAsia="en-IL"/>
        </w:rPr>
        <w:t xml:space="preserve"> </w:t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בגדר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שאינן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קשורות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הסנגורים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לנסיבותיו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ובפרט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לגילו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וטענו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נופל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תחת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הגדרת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בגיר</w:t>
      </w:r>
      <w:r>
        <w:rPr>
          <w:rtl w:val="true"/>
          <w:lang w:val="en-IL" w:eastAsia="en-IL"/>
        </w:rPr>
        <w:t>-</w:t>
      </w:r>
      <w:r>
        <w:rPr>
          <w:rtl w:val="true"/>
          <w:lang w:val="en-IL" w:eastAsia="en-IL"/>
        </w:rPr>
        <w:t>צעיר</w:t>
      </w:r>
      <w:r>
        <w:rPr>
          <w:rtl w:val="true"/>
          <w:lang w:val="en-IL" w:eastAsia="en-IL"/>
        </w:rPr>
        <w:t xml:space="preserve">". </w:t>
      </w:r>
      <w:r>
        <w:rPr>
          <w:rtl w:val="true"/>
          <w:lang w:val="en-IL" w:eastAsia="en-IL"/>
        </w:rPr>
        <w:t>הסנגורים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לעובדה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המצורף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ניהול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ההליכים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הנוכחי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הביא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לקבלת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התרחיש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החלופי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טען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לטענת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הסנגורים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כיום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השלכות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מעשיו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ומתחרט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עליהן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ומודה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בתרחיש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החלופי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שנקבע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בהכרעת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הנוכחי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לפיכך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לייחס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משקל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שצוין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בתסקיר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הודאתו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פורמאלית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הסנגורים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לתסקירי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וביקש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לייחס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מלוא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המשמעות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להמלצות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שבהן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ביקשו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הסנגורים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להתחשב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בתקופה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מצוי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במעצר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שלטענתם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להרתיעו</w:t>
      </w:r>
      <w:r>
        <w:rPr>
          <w:rtl w:val="true"/>
          <w:lang w:val="en-IL" w:eastAsia="en-IL"/>
        </w:rPr>
        <w:t>.</w:t>
      </w:r>
    </w:p>
    <w:p>
      <w:pPr>
        <w:pStyle w:val="ListParagraph"/>
        <w:ind w:end="0"/>
        <w:jc w:val="start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בנוסף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ביקשו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הסנגורים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להתחשב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במצבו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הרפואי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תאונה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למעצרו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והקושי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הכפול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חווה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במעצר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בעקבות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כך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יצוין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בהקשר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בישיבת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הטיעונים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לעונש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ביקשו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הסנגורים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להגיש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מסמכים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רפואיים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והתרתי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זאת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מסמך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רפואי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הוגש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סיכום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מידע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רפואי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7.2.2023</w:t>
      </w:r>
      <w:r>
        <w:rPr>
          <w:rtl w:val="true"/>
          <w:lang w:val="en-IL" w:eastAsia="en-IL"/>
        </w:rPr>
        <w:t xml:space="preserve">) </w:t>
      </w:r>
      <w:r>
        <w:rPr>
          <w:rtl w:val="true"/>
          <w:lang w:val="en-IL" w:eastAsia="en-IL"/>
        </w:rPr>
        <w:t>וממנו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</w:t>
      </w:r>
      <w:r>
        <w:rPr>
          <w:rtl w:val="true"/>
          <w:lang w:val="en-IL" w:eastAsia="en-IL"/>
        </w:rPr>
        <w:t>-</w:t>
      </w:r>
      <w:r>
        <w:rPr>
          <w:lang w:val="en-IL" w:eastAsia="en-IL"/>
        </w:rPr>
        <w:t>30.9.2021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הגיע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ליחידה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לטיפול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נמרץ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פציעת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מורכבת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שכללה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קרע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שטחי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בכבד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נקב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במעי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ופגיעה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בעכוז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מונשם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לתקופה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וטופל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החולים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רמב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ם</w:t>
      </w:r>
      <w:r>
        <w:rPr>
          <w:rtl w:val="true"/>
          <w:lang w:val="en-IL" w:eastAsia="en-IL"/>
        </w:rPr>
        <w:t xml:space="preserve">. </w:t>
      </w:r>
    </w:p>
    <w:p>
      <w:pPr>
        <w:pStyle w:val="ListParagraph"/>
        <w:ind w:end="0"/>
        <w:jc w:val="start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0" w:start="0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הסנגורים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טענו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הגנה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הצדק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שבכוחה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להוביל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להקלה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בעונשו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הנוכחי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נטען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הוגש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נגד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מנסור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שנהג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בקטנוע</w:t>
      </w:r>
      <w:r>
        <w:rPr>
          <w:rtl w:val="true"/>
          <w:lang w:val="en-IL" w:eastAsia="en-IL"/>
        </w:rPr>
        <w:t xml:space="preserve">; </w:t>
      </w:r>
      <w:r>
        <w:rPr>
          <w:rtl w:val="true"/>
          <w:lang w:val="en-IL" w:eastAsia="en-IL"/>
        </w:rPr>
        <w:t>ובתיק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המצורף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הוגשו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כתבי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נגד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נהג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ונוסע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נוסף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לדברי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הסנגורים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עובדה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הובילה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לתיקון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המצורף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מושלמת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לעבירת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סיוע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בתגובה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לטענות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טען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כ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המאשימה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הכרעת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הנוכחי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מלמדת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שאין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לקבל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הטענה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המצורף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נטען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שהטענה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בהליכים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שהתקיימו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הוגש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והיא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נטענה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לראשונה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בטיעונים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לעונש</w:t>
      </w:r>
      <w:r>
        <w:rPr>
          <w:rtl w:val="true"/>
          <w:lang w:val="en-IL" w:eastAsia="en-IL"/>
        </w:rPr>
        <w:t>.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0" w:start="0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בדברו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האחרון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ציין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בזו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הלשון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אני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מצטער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שעשיתי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ואני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אחזור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זה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שוב</w:t>
      </w:r>
      <w:r>
        <w:rPr>
          <w:rtl w:val="true"/>
          <w:lang w:val="en-IL" w:eastAsia="en-IL"/>
        </w:rPr>
        <w:t>".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eastAsia="David" w:cs="Arial"/>
          <w:b/>
          <w:bCs/>
          <w:lang w:val="en-IL" w:eastAsia="en-IL"/>
        </w:rPr>
      </w:pP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מתחם העונש ההולם</w:t>
      </w:r>
    </w:p>
    <w:p>
      <w:pPr>
        <w:pStyle w:val="Normal"/>
        <w:suppressLineNumbers/>
        <w:spacing w:lineRule="auto" w:line="360"/>
        <w:ind w:hanging="720" w:start="720" w:end="0"/>
        <w:jc w:val="both"/>
        <w:rPr>
          <w:rFonts w:ascii="Arial" w:hAnsi="Arial" w:eastAsia="David" w:cs="Arial"/>
          <w:b/>
          <w:bCs/>
          <w:lang w:val="en-IL" w:eastAsia="en-IL"/>
        </w:rPr>
      </w:pPr>
      <w:r>
        <w:rPr>
          <w:rFonts w:eastAsia="David" w:cs="Arial" w:ascii="Arial" w:hAnsi="Arial"/>
          <w:b/>
          <w:bCs/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0" w:start="0" w:end="0"/>
        <w:contextualSpacing/>
        <w:jc w:val="both"/>
        <w:rPr>
          <w:rFonts w:ascii="Arial" w:hAnsi="Arial" w:eastAsia="David" w:cs="Arial"/>
          <w:lang w:val="en-IL" w:eastAsia="en-IL"/>
        </w:rPr>
      </w:pPr>
      <w:r>
        <w:rPr>
          <w:rFonts w:ascii="Arial" w:hAnsi="Arial" w:eastAsia="David" w:cs="Arial"/>
          <w:rtl w:val="true"/>
          <w:lang w:val="en-IL" w:eastAsia="en-IL"/>
        </w:rPr>
        <w:t>כידוע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גזירת הדין נעשית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בדרך כלל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בשני שלבים עיקריים</w:t>
      </w:r>
      <w:r>
        <w:rPr>
          <w:rFonts w:eastAsia="David" w:cs="Arial" w:ascii="Arial" w:hAnsi="Arial"/>
          <w:rtl w:val="true"/>
          <w:lang w:val="en-IL" w:eastAsia="en-IL"/>
        </w:rPr>
        <w:t xml:space="preserve">: </w:t>
      </w:r>
      <w:r>
        <w:rPr>
          <w:rFonts w:ascii="Arial" w:hAnsi="Arial" w:eastAsia="David" w:cs="Arial"/>
          <w:rtl w:val="true"/>
          <w:lang w:val="en-IL" w:eastAsia="en-IL"/>
        </w:rPr>
        <w:t xml:space="preserve">קביעת מתחם עונש הולם ולאחר מכן גזירת העונש בתוך המתחם </w:t>
      </w:r>
      <w:r>
        <w:rPr>
          <w:rFonts w:eastAsia="David" w:cs="Arial" w:ascii="Arial" w:hAnsi="Arial"/>
          <w:rtl w:val="true"/>
          <w:lang w:val="en-IL" w:eastAsia="en-IL"/>
        </w:rPr>
        <w:t>(</w:t>
      </w:r>
      <w:hyperlink r:id="rId31">
        <w:r>
          <w:rPr>
            <w:rStyle w:val="Hyperlink"/>
            <w:rFonts w:ascii="Arial" w:hAnsi="Arial" w:eastAsia="David" w:cs="Arial"/>
            <w:rtl w:val="true"/>
            <w:lang w:val="en-IL" w:eastAsia="en-IL"/>
          </w:rPr>
          <w:t xml:space="preserve">סעיף </w:t>
        </w:r>
        <w:r>
          <w:rPr>
            <w:rStyle w:val="Hyperlink"/>
            <w:rFonts w:eastAsia="David" w:cs="Arial" w:ascii="Arial" w:hAnsi="Arial"/>
            <w:lang w:val="en-IL" w:eastAsia="en-IL"/>
          </w:rPr>
          <w:t>40</w:t>
        </w:r>
        <w:r>
          <w:rPr>
            <w:rStyle w:val="Hyperlink"/>
            <w:rFonts w:ascii="Arial" w:hAnsi="Arial" w:eastAsia="David" w:cs="Arial"/>
            <w:rtl w:val="true"/>
            <w:lang w:val="en-IL" w:eastAsia="en-IL"/>
          </w:rPr>
          <w:t>ג</w:t>
        </w:r>
        <w:r>
          <w:rPr>
            <w:rStyle w:val="Hyperlink"/>
            <w:rFonts w:eastAsia="David" w:cs="Arial" w:ascii="Arial" w:hAnsi="Arial"/>
            <w:rtl w:val="true"/>
            <w:lang w:val="en-IL" w:eastAsia="en-IL"/>
          </w:rPr>
          <w:t>'</w:t>
        </w:r>
      </w:hyperlink>
      <w:r>
        <w:rPr>
          <w:rFonts w:eastAsia="David" w:cs="Arial" w:ascii="Arial" w:hAnsi="Arial"/>
          <w:rtl w:val="true"/>
          <w:lang w:val="en-IL" w:eastAsia="en-IL"/>
        </w:rPr>
        <w:t xml:space="preserve"> </w:t>
      </w:r>
      <w:r>
        <w:rPr>
          <w:rFonts w:ascii="Arial" w:hAnsi="Arial" w:eastAsia="David" w:cs="Arial"/>
          <w:rtl w:val="true"/>
          <w:lang w:val="en-IL" w:eastAsia="en-IL"/>
        </w:rPr>
        <w:t>ל</w:t>
      </w:r>
      <w:hyperlink r:id="rId32">
        <w:r>
          <w:rPr>
            <w:rStyle w:val="Hyperlink"/>
            <w:rFonts w:ascii="Arial" w:hAnsi="Arial" w:eastAsia="David" w:cs="Arial"/>
            <w:color w:val="0000FF"/>
            <w:u w:val="single"/>
            <w:rtl w:val="true"/>
            <w:lang w:val="en-IL" w:eastAsia="en-IL"/>
          </w:rPr>
          <w:t>חוק העונשין</w:t>
        </w:r>
      </w:hyperlink>
      <w:r>
        <w:rPr>
          <w:rFonts w:eastAsia="David" w:cs="Arial" w:ascii="Arial" w:hAnsi="Arial"/>
          <w:rtl w:val="true"/>
          <w:lang w:val="en-IL" w:eastAsia="en-IL"/>
        </w:rPr>
        <w:t xml:space="preserve">). </w:t>
      </w:r>
      <w:r>
        <w:rPr>
          <w:rFonts w:ascii="Arial" w:hAnsi="Arial" w:eastAsia="David" w:cs="Arial"/>
          <w:rtl w:val="true"/>
          <w:lang w:val="en-IL" w:eastAsia="en-IL"/>
        </w:rPr>
        <w:t>בתוך כך יש לבחון אם קיימים שיקולים המצדיקים סטייה מהמתחם</w:t>
      </w:r>
      <w:r>
        <w:rPr>
          <w:rFonts w:eastAsia="David"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eastAsia="David" w:cs="Arial"/>
          <w:rtl w:val="true"/>
          <w:lang w:val="en-IL" w:eastAsia="en-IL"/>
        </w:rPr>
        <w:t>בבוא בית המשפט לקבוע את מתחם העונש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עליו לעשות כן בהתאם לעקרון המנחה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כלומר קיומו של יחס הולם בין חומרת מעשה העבירה בנסיבותיו ומידת אשמו של הנאשם ובין סוג ומידת העונש המוטל עליו</w:t>
      </w:r>
      <w:r>
        <w:rPr>
          <w:rFonts w:eastAsia="David"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eastAsia="David" w:cs="Arial"/>
          <w:rtl w:val="true"/>
          <w:lang w:val="en-IL" w:eastAsia="en-IL"/>
        </w:rPr>
        <w:t>לצורך קביעת המתחם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בית המשפט יתחשב בערך החברתי שנפגע מביצוע העבירה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במידת הפגיעה בו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 xml:space="preserve">במדיניות הענישה הנהוגה ובנסיבות הקשורות בביצוע העבירה כאמור </w:t>
      </w:r>
      <w:hyperlink r:id="rId33">
        <w:r>
          <w:rPr>
            <w:rStyle w:val="Hyperlink"/>
            <w:rFonts w:ascii="Arial" w:hAnsi="Arial" w:eastAsia="David" w:cs="Arial"/>
            <w:rtl w:val="true"/>
            <w:lang w:val="en-IL" w:eastAsia="en-IL"/>
          </w:rPr>
          <w:t>בסעיף</w:t>
        </w:r>
        <w:r>
          <w:rPr>
            <w:rStyle w:val="Hyperlink"/>
            <w:rFonts w:ascii="Arial" w:hAnsi="Arial" w:eastAsia="David" w:cs="Arial"/>
            <w:rtl w:val="true"/>
            <w:lang w:val="en-IL" w:eastAsia="en-IL"/>
          </w:rPr>
          <w:t xml:space="preserve"> </w:t>
        </w:r>
        <w:r>
          <w:rPr>
            <w:rStyle w:val="Hyperlink"/>
            <w:rFonts w:eastAsia="David" w:cs="Arial" w:ascii="Arial" w:hAnsi="Arial"/>
            <w:lang w:val="en-IL" w:eastAsia="en-IL"/>
          </w:rPr>
          <w:t>40</w:t>
        </w:r>
        <w:r>
          <w:rPr>
            <w:rStyle w:val="Hyperlink"/>
            <w:rFonts w:ascii="Arial" w:hAnsi="Arial" w:eastAsia="David" w:cs="Arial"/>
            <w:rtl w:val="true"/>
            <w:lang w:val="en-IL" w:eastAsia="en-IL"/>
          </w:rPr>
          <w:t>ט</w:t>
        </w:r>
        <w:r>
          <w:rPr>
            <w:rStyle w:val="Hyperlink"/>
            <w:rFonts w:eastAsia="David" w:cs="Arial" w:ascii="Arial" w:hAnsi="Arial"/>
            <w:rtl w:val="true"/>
            <w:lang w:val="en-IL" w:eastAsia="en-IL"/>
          </w:rPr>
          <w:t>'</w:t>
        </w:r>
      </w:hyperlink>
      <w:r>
        <w:rPr>
          <w:rFonts w:eastAsia="David" w:cs="Arial" w:ascii="Arial" w:hAnsi="Arial"/>
          <w:rtl w:val="true"/>
          <w:lang w:val="en-IL" w:eastAsia="en-IL"/>
        </w:rPr>
        <w:t xml:space="preserve"> </w:t>
      </w:r>
      <w:r>
        <w:rPr>
          <w:rFonts w:ascii="Arial" w:hAnsi="Arial" w:eastAsia="David" w:cs="Arial"/>
          <w:rtl w:val="true"/>
          <w:lang w:val="en-IL" w:eastAsia="en-IL"/>
        </w:rPr>
        <w:t>ל</w:t>
      </w:r>
      <w:hyperlink r:id="rId34">
        <w:r>
          <w:rPr>
            <w:rStyle w:val="Hyperlink"/>
            <w:rFonts w:ascii="Arial" w:hAnsi="Arial" w:eastAsia="David" w:cs="Arial"/>
            <w:color w:val="0000FF"/>
            <w:u w:val="single"/>
            <w:rtl w:val="true"/>
            <w:lang w:val="en-IL" w:eastAsia="en-IL"/>
          </w:rPr>
          <w:t>חוק העונשין</w:t>
        </w:r>
      </w:hyperlink>
      <w:r>
        <w:rPr>
          <w:rFonts w:eastAsia="David" w:cs="Arial" w:ascii="Arial" w:hAnsi="Arial"/>
          <w:rtl w:val="true"/>
          <w:lang w:val="en-IL" w:eastAsia="en-IL"/>
        </w:rPr>
        <w:t>.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rFonts w:ascii="Arial" w:hAnsi="Arial" w:eastAsia="David" w:cs="Arial"/>
          <w:lang w:val="en-IL" w:eastAsia="en-IL"/>
        </w:rPr>
      </w:pPr>
      <w:r>
        <w:rPr>
          <w:rFonts w:eastAsia="David" w:cs="Arial" w:ascii="Arial" w:hAnsi="Arial"/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0" w:start="0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לפני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שנדון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בשיקולים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המעצבים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עלינו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להכריע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במחלוקת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שהתעוררה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הצדדים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לאמור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לראות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מכתבי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כמגלם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אירוע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נפרד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ולקבוע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מתחמים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אירוע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כטענת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המאשימה</w:t>
      </w:r>
      <w:r>
        <w:rPr>
          <w:rtl w:val="true"/>
          <w:lang w:val="en-IL" w:eastAsia="en-IL"/>
        </w:rPr>
        <w:t xml:space="preserve">; </w:t>
      </w:r>
      <w:r>
        <w:rPr>
          <w:rtl w:val="true"/>
          <w:lang w:val="en-IL" w:eastAsia="en-IL"/>
        </w:rPr>
        <w:t>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לראות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אירוע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ולקבוע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לשניהם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כטענת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ההגנה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hyperlink r:id="rId35">
        <w:r>
          <w:rPr>
            <w:rStyle w:val="Hyperlink"/>
            <w:rtl w:val="true"/>
            <w:lang w:val="en-IL" w:eastAsia="en-IL"/>
          </w:rPr>
          <w:t>סעיף</w:t>
        </w:r>
        <w:r>
          <w:rPr>
            <w:rStyle w:val="Hyperlink"/>
            <w:rFonts w:cs="Times New Roman"/>
            <w:rtl w:val="true"/>
            <w:lang w:val="en-IL" w:eastAsia="en-IL"/>
          </w:rPr>
          <w:t xml:space="preserve"> </w:t>
        </w:r>
        <w:r>
          <w:rPr>
            <w:rStyle w:val="Hyperlink"/>
            <w:lang w:val="en-IL" w:eastAsia="en-IL"/>
          </w:rPr>
          <w:t>40</w:t>
        </w:r>
        <w:r>
          <w:rPr>
            <w:rStyle w:val="Hyperlink"/>
            <w:rtl w:val="true"/>
            <w:lang w:val="en-IL" w:eastAsia="en-IL"/>
          </w:rPr>
          <w:t>יג</w:t>
        </w:r>
        <w:r>
          <w:rPr>
            <w:rStyle w:val="Hyperlink"/>
            <w:rtl w:val="true"/>
            <w:lang w:val="en-IL" w:eastAsia="en-IL"/>
          </w:rPr>
          <w:t>'</w:t>
        </w:r>
      </w:hyperlink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hyperlink r:id="rId36">
        <w:r>
          <w:rPr>
            <w:rStyle w:val="Hyperlink"/>
            <w:color w:val="0000FF"/>
            <w:u w:val="single"/>
            <w:rtl w:val="true"/>
            <w:lang w:val="en-IL" w:eastAsia="en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העונשין</w:t>
        </w:r>
      </w:hyperlink>
      <w:r>
        <w:rPr>
          <w:rtl w:val="true"/>
          <w:lang w:val="en-IL" w:eastAsia="en-IL"/>
        </w:rPr>
        <w:t>).</w:t>
      </w:r>
    </w:p>
    <w:p>
      <w:pPr>
        <w:pStyle w:val="Normal"/>
        <w:suppressLineNumbers/>
        <w:spacing w:lineRule="auto" w:line="360" w:before="0" w:after="0"/>
        <w:ind w:firstLine="720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ב</w:t>
      </w:r>
      <w:hyperlink r:id="rId37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4910/13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ג</w:t>
      </w:r>
      <w:r>
        <w:rPr>
          <w:b/>
          <w:bCs/>
          <w:rtl w:val="true"/>
          <w:lang w:val="en-IL" w:eastAsia="en-IL"/>
        </w:rPr>
        <w:t>'</w:t>
      </w:r>
      <w:r>
        <w:rPr>
          <w:b/>
          <w:b/>
          <w:bCs/>
          <w:rtl w:val="true"/>
          <w:lang w:val="en-IL" w:eastAsia="en-IL"/>
        </w:rPr>
        <w:t>אבר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( </w:t>
      </w:r>
      <w:r>
        <w:rPr>
          <w:lang w:val="en-IL" w:eastAsia="en-IL"/>
        </w:rPr>
        <w:t>29.10.2014</w:t>
      </w:r>
      <w:r>
        <w:rPr>
          <w:rtl w:val="true"/>
          <w:lang w:val="en-IL" w:eastAsia="en-IL"/>
        </w:rPr>
        <w:t>) 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 xml:space="preserve">: </w:t>
      </w:r>
      <w:r>
        <w:rPr>
          <w:rtl w:val="true"/>
          <w:lang w:val="en-IL" w:eastAsia="en-IL"/>
        </w:rPr>
        <w:t>עניין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ג</w:t>
      </w:r>
      <w:r>
        <w:rPr>
          <w:b/>
          <w:bCs/>
          <w:rtl w:val="true"/>
          <w:lang w:val="en-IL" w:eastAsia="en-IL"/>
        </w:rPr>
        <w:t>'</w:t>
      </w:r>
      <w:r>
        <w:rPr>
          <w:b/>
          <w:b/>
          <w:bCs/>
          <w:rtl w:val="true"/>
          <w:lang w:val="en-IL" w:eastAsia="en-IL"/>
        </w:rPr>
        <w:t>אבר</w:t>
      </w:r>
      <w:r>
        <w:rPr>
          <w:rtl w:val="true"/>
          <w:lang w:val="en-IL" w:eastAsia="en-IL"/>
        </w:rPr>
        <w:t xml:space="preserve">) </w:t>
      </w:r>
      <w:r>
        <w:rPr>
          <w:rtl w:val="true"/>
          <w:lang w:val="en-IL" w:eastAsia="en-IL"/>
        </w:rPr>
        <w:t>הוצעו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מספר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קווים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מנחים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לאפיונו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אירוע</w:t>
      </w:r>
      <w:r>
        <w:rPr>
          <w:rtl w:val="true"/>
          <w:lang w:val="en-IL" w:eastAsia="en-IL"/>
        </w:rPr>
        <w:t xml:space="preserve">". </w:t>
      </w:r>
      <w:r>
        <w:rPr>
          <w:rtl w:val="true"/>
          <w:lang w:val="en-IL" w:eastAsia="en-IL"/>
        </w:rPr>
        <w:t>המבחן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שהוצע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כב</w:t>
      </w:r>
      <w:r>
        <w:rPr>
          <w:rtl w:val="true"/>
          <w:lang w:val="en-IL" w:eastAsia="en-IL"/>
        </w:rPr>
        <w:t xml:space="preserve">' </w:t>
      </w:r>
      <w:r>
        <w:rPr>
          <w:rtl w:val="true"/>
          <w:lang w:val="en-IL" w:eastAsia="en-IL"/>
        </w:rPr>
        <w:t>השופטת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ברק</w:t>
      </w:r>
      <w:r>
        <w:rPr>
          <w:rtl w:val="true"/>
          <w:lang w:val="en-IL" w:eastAsia="en-IL"/>
        </w:rPr>
        <w:t>-</w:t>
      </w:r>
      <w:r>
        <w:rPr>
          <w:rtl w:val="true"/>
          <w:lang w:val="en-IL" w:eastAsia="en-IL"/>
        </w:rPr>
        <w:t>ארז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הקשר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ההדוק</w:t>
      </w:r>
      <w:r>
        <w:rPr>
          <w:rtl w:val="true"/>
          <w:lang w:val="en-IL" w:eastAsia="en-IL"/>
        </w:rPr>
        <w:t xml:space="preserve">"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</w:t>
      </w:r>
      <w:r>
        <w:rPr>
          <w:rtl w:val="true"/>
          <w:lang w:val="en-IL" w:eastAsia="en-IL"/>
        </w:rPr>
        <w:t>תקיים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תימצא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סמיכות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זמנים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חלק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מאותה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תכנית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עבריינית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בוצעו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לאורך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תקופת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זמן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שאינה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קצרה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בפסיקה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מאוחרת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נראה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הלך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והתבסס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ראו</w:t>
      </w:r>
      <w:r>
        <w:rPr>
          <w:rtl w:val="true"/>
          <w:lang w:val="en-IL" w:eastAsia="en-IL"/>
        </w:rPr>
        <w:t xml:space="preserve">: </w:t>
      </w:r>
      <w:hyperlink r:id="rId38">
        <w:r>
          <w:rPr>
            <w:rStyle w:val="Hyperlink"/>
            <w:color w:val="0000FF"/>
            <w:u w:val="single"/>
            <w:rtl w:val="true"/>
            <w:lang w:val="en-IL" w:eastAsia="en-IL"/>
          </w:rPr>
          <w:t>רע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4760/14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קיסלמן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פורסם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בנבו</w:t>
      </w:r>
      <w:r>
        <w:rPr>
          <w:rtl w:val="true"/>
          <w:lang w:val="en-IL" w:eastAsia="en-IL"/>
        </w:rPr>
        <w:t xml:space="preserve">, </w:t>
      </w:r>
      <w:r>
        <w:rPr>
          <w:lang w:val="en-IL" w:eastAsia="en-IL"/>
        </w:rPr>
        <w:t>7.5.2015</w:t>
      </w:r>
      <w:r>
        <w:rPr>
          <w:rtl w:val="true"/>
          <w:lang w:val="en-IL" w:eastAsia="en-IL"/>
        </w:rPr>
        <w:t xml:space="preserve">); </w:t>
      </w:r>
      <w:hyperlink r:id="rId39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4289/14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חנונה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פורסם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בנבו</w:t>
      </w:r>
      <w:r>
        <w:rPr>
          <w:rtl w:val="true"/>
          <w:lang w:val="en-IL" w:eastAsia="en-IL"/>
        </w:rPr>
        <w:t xml:space="preserve">, </w:t>
      </w:r>
      <w:r>
        <w:rPr>
          <w:lang w:val="en-IL" w:eastAsia="en-IL"/>
        </w:rPr>
        <w:t>21.1.2015</w:t>
      </w:r>
      <w:r>
        <w:rPr>
          <w:rtl w:val="true"/>
          <w:lang w:val="en-IL" w:eastAsia="en-IL"/>
        </w:rPr>
        <w:t>)</w:t>
      </w:r>
      <w:r>
        <w:rPr>
          <w:rtl w:val="true"/>
          <w:lang w:val="en-IL" w:eastAsia="en-IL"/>
        </w:rPr>
        <w:t xml:space="preserve">; </w:t>
      </w:r>
      <w:hyperlink r:id="rId40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2240/21</w:t>
        </w:r>
      </w:hyperlink>
      <w:r>
        <w:rPr>
          <w:rtl w:val="true"/>
          <w:lang w:val="en-IL" w:eastAsia="en-IL"/>
        </w:rPr>
        <w:t xml:space="preserve"> ‏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שחר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8.11.2021</w:t>
      </w:r>
      <w:r>
        <w:rPr>
          <w:rtl w:val="true"/>
          <w:lang w:val="en-IL" w:eastAsia="en-IL"/>
        </w:rPr>
        <w:t xml:space="preserve">)).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זאת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פסק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ג</w:t>
      </w:r>
      <w:r>
        <w:rPr>
          <w:b/>
          <w:bCs/>
          <w:rtl w:val="true"/>
          <w:lang w:val="en-IL" w:eastAsia="en-IL"/>
        </w:rPr>
        <w:t>'</w:t>
      </w:r>
      <w:r>
        <w:rPr>
          <w:b/>
          <w:b/>
          <w:bCs/>
          <w:rtl w:val="true"/>
          <w:lang w:val="en-IL" w:eastAsia="en-IL"/>
        </w:rPr>
        <w:t>אבר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ניתן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למצוא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מספר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פסקי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הובעו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קולות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לגבי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הקשר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ההדוק</w:t>
      </w:r>
      <w:r>
        <w:rPr>
          <w:rtl w:val="true"/>
          <w:lang w:val="en-IL" w:eastAsia="en-IL"/>
        </w:rPr>
        <w:t xml:space="preserve">: </w:t>
      </w:r>
      <w:r>
        <w:rPr>
          <w:rtl w:val="true"/>
          <w:lang w:val="en-IL" w:eastAsia="en-IL"/>
        </w:rPr>
        <w:t>כך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</w:t>
      </w:r>
      <w:hyperlink r:id="rId41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1261/15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דלאל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פורסם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בנבו</w:t>
      </w:r>
      <w:r>
        <w:rPr>
          <w:rtl w:val="true"/>
          <w:lang w:val="en-IL" w:eastAsia="en-IL"/>
        </w:rPr>
        <w:t xml:space="preserve">, </w:t>
      </w:r>
      <w:r>
        <w:rPr>
          <w:lang w:val="en-IL" w:eastAsia="en-IL"/>
        </w:rPr>
        <w:t>3.9.2015</w:t>
      </w:r>
      <w:r>
        <w:rPr>
          <w:rtl w:val="true"/>
          <w:lang w:val="en-IL" w:eastAsia="en-IL"/>
        </w:rPr>
        <w:t xml:space="preserve">) </w:t>
      </w:r>
      <w:r>
        <w:rPr>
          <w:rtl w:val="true"/>
          <w:lang w:val="en-IL" w:eastAsia="en-IL"/>
        </w:rPr>
        <w:t>יישם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אמנם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כב</w:t>
      </w:r>
      <w:r>
        <w:rPr>
          <w:rtl w:val="true"/>
          <w:lang w:val="en-IL" w:eastAsia="en-IL"/>
        </w:rPr>
        <w:t xml:space="preserve">' </w:t>
      </w:r>
      <w:r>
        <w:rPr>
          <w:rtl w:val="true"/>
          <w:lang w:val="en-IL" w:eastAsia="en-IL"/>
        </w:rPr>
        <w:t>השופט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סולברג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הקשר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ההדוק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הוסיף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וציין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שעוצמת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הקשר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נסיבותיהן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העובדתית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רבה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תידרש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הצדקה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נורמטיבית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משמעותית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יותר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לראותן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כאירועים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נפרדים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ולהיפך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דוגמא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נוספת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פסק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</w:t>
      </w:r>
      <w:hyperlink r:id="rId42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1082/14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ג</w:t>
      </w:r>
      <w:r>
        <w:rPr>
          <w:b/>
          <w:bCs/>
          <w:rtl w:val="true"/>
          <w:lang w:val="en-IL" w:eastAsia="en-IL"/>
        </w:rPr>
        <w:t>'</w:t>
      </w:r>
      <w:r>
        <w:rPr>
          <w:b/>
          <w:b/>
          <w:bCs/>
          <w:rtl w:val="true"/>
          <w:lang w:val="en-IL" w:eastAsia="en-IL"/>
        </w:rPr>
        <w:t>אסר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פורסם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בנבו</w:t>
      </w:r>
      <w:r>
        <w:rPr>
          <w:rtl w:val="true"/>
          <w:lang w:val="en-IL" w:eastAsia="en-IL"/>
        </w:rPr>
        <w:t xml:space="preserve">, </w:t>
      </w:r>
      <w:r>
        <w:rPr>
          <w:lang w:val="en-IL" w:eastAsia="en-IL"/>
        </w:rPr>
        <w:t>23.7.2015</w:t>
      </w:r>
      <w:r>
        <w:rPr>
          <w:rtl w:val="true"/>
          <w:lang w:val="en-IL" w:eastAsia="en-IL"/>
        </w:rPr>
        <w:t xml:space="preserve">), </w:t>
      </w:r>
      <w:r>
        <w:rPr>
          <w:rtl w:val="true"/>
          <w:lang w:val="en-IL" w:eastAsia="en-IL"/>
        </w:rPr>
        <w:t>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כב</w:t>
      </w:r>
      <w:r>
        <w:rPr>
          <w:rtl w:val="true"/>
          <w:lang w:val="en-IL" w:eastAsia="en-IL"/>
        </w:rPr>
        <w:t xml:space="preserve">' </w:t>
      </w:r>
      <w:r>
        <w:rPr>
          <w:rtl w:val="true"/>
          <w:lang w:val="en-IL" w:eastAsia="en-IL"/>
        </w:rPr>
        <w:t>השופט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הנדל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הגישה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דפוס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דומה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ללא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לפרמטרים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נפגעי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מועד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ואופני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תכנון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שונים</w:t>
      </w:r>
      <w:r>
        <w:rPr>
          <w:rtl w:val="true"/>
          <w:lang w:val="en-IL" w:eastAsia="en-IL"/>
        </w:rPr>
        <w:t xml:space="preserve">), </w:t>
      </w:r>
      <w:r>
        <w:rPr>
          <w:rtl w:val="true"/>
          <w:lang w:val="en-IL" w:eastAsia="en-IL"/>
        </w:rPr>
        <w:t>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להפוך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לאירוע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היא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מרחיקת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לכת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שהצטיידנו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מלוא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הסאה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נפנה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לדון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במעשים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המונחים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לפנינו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ונקדים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ונציין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לראות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אירוע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נפרד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לקבוע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נפרד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 xml:space="preserve">   </w:t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יצוין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בפתח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הדברים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לצורך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הקביעה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מדובר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באירוע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טכני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והעובדה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המקרים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נכללו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בכתבי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נפרדים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חזות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הכל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לגופם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דברים</w:t>
      </w:r>
      <w:r>
        <w:rPr>
          <w:rtl w:val="true"/>
          <w:lang w:val="en-IL" w:eastAsia="en-IL"/>
        </w:rPr>
        <w:t xml:space="preserve">,  </w:t>
      </w:r>
      <w:r>
        <w:rPr>
          <w:rtl w:val="true"/>
          <w:lang w:val="en-IL" w:eastAsia="en-IL"/>
        </w:rPr>
        <w:t>אין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לקבל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טענת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הסנגורים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העובדה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ההליכים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המדובר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היא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שיקול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שמטה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הכף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לראות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המקרים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כאירוע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הדברים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אמורים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שאת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מקום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שבהליך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הנוכחי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נוסף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לעבירת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נוספות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שיבוש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מהלכי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והפרת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חוקית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מוסיפות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נדבך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נוסף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שמרחיק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האירוע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ממשנהו</w:t>
      </w:r>
      <w:r>
        <w:rPr>
          <w:rtl w:val="true"/>
          <w:lang w:val="en-IL" w:eastAsia="en-IL"/>
        </w:rPr>
        <w:t xml:space="preserve">. 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הטענה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תנאי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מעצר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הבית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שגיבשה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ההוראה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החוקית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בוצעה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בזיקה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לתנאים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שהוטלו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המצורף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כשלעצמה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להוליך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לתוצאה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מייחלים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הסנגורים</w:t>
      </w:r>
      <w:r>
        <w:rPr>
          <w:rtl w:val="true"/>
          <w:lang w:val="en-IL" w:eastAsia="en-IL"/>
        </w:rPr>
        <w:t>.</w:t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זאת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ועוד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בעוד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הנוכחי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בוצעו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7.2.2022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המצורף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בוצעה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2.1.2022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בפער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יותר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מחודש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בנסיבותיו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מקרה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רקע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מהותה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נראה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בפער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ליצור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נתק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המקרים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שאין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לראות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ההליכים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כעוסקים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בתכנית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עבריינית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הקשר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היחיד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המקרים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העיסוק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ועובדה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כשלעצמה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הופכת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ההליכים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למערך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עברייני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כמו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לזכור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בוצעו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בריחוק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גיאוגרפי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בעוד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המצורף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בוצעה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היישוב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טורעאן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במחוז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הצפון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הנוכחי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בוצעה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טמרה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זו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הסיבה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כתבי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נדונו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לצירופם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שונים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המחוזי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בנצרת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ובחיפה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לפיכך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קובע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לראות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כמגלם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אירוע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לקבוע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נפרד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0" w:start="0" w:end="0"/>
        <w:contextualSpacing/>
        <w:jc w:val="both"/>
        <w:rPr>
          <w:lang w:val="en-IL" w:eastAsia="en-IL"/>
        </w:rPr>
      </w:pPr>
      <w:r>
        <w:rPr>
          <w:rFonts w:ascii="Arial" w:hAnsi="Arial" w:eastAsia="David" w:cs="Arial"/>
          <w:rtl w:val="true"/>
          <w:lang w:val="en-IL" w:eastAsia="en-IL"/>
        </w:rPr>
        <w:t>ועתה נחזור לשיקולים לצורך קביעת המתחם</w:t>
      </w:r>
      <w:r>
        <w:rPr>
          <w:rFonts w:eastAsia="David"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eastAsia="David" w:cs="Arial"/>
          <w:rtl w:val="true"/>
          <w:lang w:val="en-IL" w:eastAsia="en-IL"/>
        </w:rPr>
        <w:t>נוכח החפיפה בגין השיקולים השונים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 xml:space="preserve">כנגזרת של עבירת הנשק המשותפת לשני ההליכים </w:t>
      </w:r>
      <w:r>
        <w:rPr>
          <w:rFonts w:ascii="Arial" w:hAnsi="Arial" w:eastAsia="David" w:cs="Arial"/>
          <w:rtl w:val="true"/>
          <w:lang w:val="en-IL" w:eastAsia="en-IL"/>
        </w:rPr>
        <w:t>–</w:t>
      </w:r>
      <w:r>
        <w:rPr>
          <w:rFonts w:ascii="Arial" w:hAnsi="Arial" w:eastAsia="David" w:cs="Arial"/>
          <w:rtl w:val="true"/>
          <w:lang w:val="en-IL" w:eastAsia="en-IL"/>
        </w:rPr>
        <w:t xml:space="preserve"> הדיון במתחמים ייעשה בכריכה אחת</w:t>
      </w:r>
      <w:r>
        <w:rPr>
          <w:rFonts w:eastAsia="David" w:cs="Arial" w:ascii="Arial" w:hAnsi="Arial"/>
          <w:rtl w:val="true"/>
          <w:lang w:val="en-IL" w:eastAsia="en-IL"/>
        </w:rPr>
        <w:t xml:space="preserve">. 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0" w:start="0" w:end="0"/>
        <w:contextualSpacing/>
        <w:jc w:val="both"/>
        <w:rPr>
          <w:lang w:val="en-IL" w:eastAsia="en-IL"/>
        </w:rPr>
      </w:pPr>
      <w:r>
        <w:rPr>
          <w:rFonts w:ascii="Arial" w:hAnsi="Arial" w:eastAsia="David" w:cs="Arial"/>
          <w:rtl w:val="true"/>
          <w:lang w:val="en-IL" w:eastAsia="en-IL"/>
        </w:rPr>
        <w:t xml:space="preserve">הנאשם הורשע במספר עבירות שכוללות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ascii="David" w:hAnsi="David"/>
          <w:rtl w:val="true"/>
        </w:rPr>
        <w:t xml:space="preserve">של 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והובלת נשק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43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רישא וסיפא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</w:t>
      </w:r>
      <w:hyperlink r:id="rId4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וסיוע בהובלת נזק ונשיאתו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שיבוש מהלכי משפט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והפרת הוראה חוקית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  <w:lang w:val="en-IL" w:eastAsia="en-IL"/>
        </w:rPr>
        <w:t>העבירת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נועדו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להגן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מגוון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ערכים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מוגנים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נועדו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להגן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חיי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אדם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הציבור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וביטחונו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אין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צורך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להכביר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מילים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לגבי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</w:t>
      </w:r>
      <w:r>
        <w:rPr>
          <w:rtl w:val="true"/>
          <w:lang w:val="en-IL" w:eastAsia="en-IL"/>
        </w:rPr>
        <w:t>מסוכנות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הטמונה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זאת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בהינתן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הסיכון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החמור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והממשי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לחיי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אדם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ראו</w:t>
      </w:r>
      <w:r>
        <w:rPr>
          <w:rtl w:val="true"/>
          <w:lang w:val="en-IL" w:eastAsia="en-IL"/>
        </w:rPr>
        <w:t xml:space="preserve">: </w:t>
      </w:r>
      <w:hyperlink r:id="rId45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3491/13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טוויק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15.11.2013</w:t>
      </w:r>
      <w:r>
        <w:rPr>
          <w:rtl w:val="true"/>
          <w:lang w:val="en-IL" w:eastAsia="en-IL"/>
        </w:rPr>
        <w:t xml:space="preserve">)).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עמד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חומרתן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מסוג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מדיניות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הנוהגת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בציינו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החובה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להטיל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חמור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ומרתיע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פשרות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ראו</w:t>
      </w:r>
      <w:r>
        <w:rPr>
          <w:rtl w:val="true"/>
          <w:lang w:val="en-IL" w:eastAsia="en-IL"/>
        </w:rPr>
        <w:t xml:space="preserve">: </w:t>
      </w:r>
      <w:hyperlink r:id="rId46">
        <w:r>
          <w:rPr>
            <w:rStyle w:val="Hyperlink"/>
            <w:color w:val="0000FF"/>
            <w:u w:val="single"/>
            <w:rtl w:val="true"/>
            <w:lang w:val="en-IL" w:eastAsia="en-IL"/>
          </w:rPr>
          <w:t>רע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2718/04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אבו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דאחל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29.3.2004</w:t>
      </w:r>
      <w:r>
        <w:rPr>
          <w:rtl w:val="true"/>
          <w:lang w:val="en-IL" w:eastAsia="en-IL"/>
        </w:rPr>
        <w:t xml:space="preserve">); </w:t>
      </w:r>
      <w:hyperlink r:id="rId47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5336/13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צדוק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17.11.2013</w:t>
      </w:r>
      <w:r>
        <w:rPr>
          <w:rtl w:val="true"/>
          <w:lang w:val="en-IL" w:eastAsia="en-IL"/>
        </w:rPr>
        <w:t>)).</w:t>
      </w:r>
      <w:r>
        <w:rPr>
          <w:rtl w:val="true"/>
          <w:lang w:val="en-IL" w:eastAsia="en-IL"/>
        </w:rPr>
        <w:t xml:space="preserve"> </w:t>
      </w:r>
    </w:p>
    <w:p>
      <w:pPr>
        <w:pStyle w:val="ListParagraph"/>
        <w:ind w:end="0"/>
        <w:jc w:val="start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0" w:start="0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הקריאות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להחמיר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יותר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בעונשים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הולכות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וגוברות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זאת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נפיצותן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והסיכון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החמור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גורמות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המחוקק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ביטא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עמדה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ברורה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להחמיר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בעונשים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זאת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במסגרת</w:t>
      </w:r>
      <w:r>
        <w:rPr>
          <w:rFonts w:cs="Times New Roman"/>
          <w:rtl w:val="true"/>
          <w:lang w:val="en-IL" w:eastAsia="en-IL"/>
        </w:rPr>
        <w:t xml:space="preserve"> </w:t>
      </w:r>
      <w:hyperlink r:id="rId48">
        <w:r>
          <w:rPr>
            <w:rStyle w:val="Hyperlink"/>
            <w:rtl w:val="true"/>
            <w:lang w:val="en-IL" w:eastAsia="en-IL"/>
          </w:rPr>
          <w:t>סעיף</w:t>
        </w:r>
        <w:r>
          <w:rPr>
            <w:rStyle w:val="Hyperlink"/>
            <w:rFonts w:cs="Times New Roman"/>
            <w:rtl w:val="true"/>
            <w:lang w:val="en-IL" w:eastAsia="en-IL"/>
          </w:rPr>
          <w:t xml:space="preserve"> </w:t>
        </w:r>
        <w:r>
          <w:rPr>
            <w:rStyle w:val="Hyperlink"/>
            <w:lang w:val="en-IL" w:eastAsia="en-IL"/>
          </w:rPr>
          <w:t>144</w:t>
        </w:r>
        <w:r>
          <w:rPr>
            <w:rStyle w:val="Hyperlink"/>
            <w:rtl w:val="true"/>
            <w:lang w:val="en-IL" w:eastAsia="en-IL"/>
          </w:rPr>
          <w:t>(</w:t>
        </w:r>
        <w:r>
          <w:rPr>
            <w:rStyle w:val="Hyperlink"/>
            <w:rtl w:val="true"/>
            <w:lang w:val="en-IL" w:eastAsia="en-IL"/>
          </w:rPr>
          <w:t>ז</w:t>
        </w:r>
        <w:r>
          <w:rPr>
            <w:rStyle w:val="Hyperlink"/>
            <w:rtl w:val="true"/>
            <w:lang w:val="en-IL" w:eastAsia="en-IL"/>
          </w:rPr>
          <w:t>)</w:t>
        </w:r>
      </w:hyperlink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hyperlink r:id="rId49">
        <w:r>
          <w:rPr>
            <w:rStyle w:val="Hyperlink"/>
            <w:color w:val="0000FF"/>
            <w:u w:val="single"/>
            <w:rtl w:val="true"/>
            <w:lang w:val="en-IL" w:eastAsia="en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העונשין</w:t>
        </w:r>
      </w:hyperlink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חוקק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במסגרת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תיקון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</w:t>
      </w:r>
      <w:r>
        <w:rPr>
          <w:rtl w:val="true"/>
          <w:lang w:val="en-IL" w:eastAsia="en-IL"/>
        </w:rPr>
        <w:t xml:space="preserve">' </w:t>
      </w:r>
      <w:r>
        <w:rPr>
          <w:lang w:val="en-IL" w:eastAsia="en-IL"/>
        </w:rPr>
        <w:t>140</w:t>
      </w:r>
      <w:r>
        <w:rPr>
          <w:rtl w:val="true"/>
          <w:lang w:val="en-IL" w:eastAsia="en-IL"/>
        </w:rPr>
        <w:t xml:space="preserve"> (</w:t>
      </w:r>
      <w:r>
        <w:rPr>
          <w:rtl w:val="true"/>
          <w:lang w:val="en-IL" w:eastAsia="en-IL"/>
        </w:rPr>
        <w:t>חוק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תיקון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</w:t>
      </w:r>
      <w:r>
        <w:rPr>
          <w:rtl w:val="true"/>
          <w:lang w:val="en-IL" w:eastAsia="en-IL"/>
        </w:rPr>
        <w:t xml:space="preserve">' </w:t>
      </w:r>
      <w:r>
        <w:rPr>
          <w:lang w:val="en-IL" w:eastAsia="en-IL"/>
        </w:rPr>
        <w:t>140</w:t>
      </w:r>
      <w:r>
        <w:rPr>
          <w:rtl w:val="true"/>
          <w:lang w:val="en-IL" w:eastAsia="en-IL"/>
        </w:rPr>
        <w:t xml:space="preserve"> – </w:t>
      </w:r>
      <w:r>
        <w:rPr>
          <w:rtl w:val="true"/>
          <w:lang w:val="en-IL" w:eastAsia="en-IL"/>
        </w:rPr>
        <w:t>הוראת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שעה</w:t>
      </w:r>
      <w:r>
        <w:rPr>
          <w:rtl w:val="true"/>
          <w:lang w:val="en-IL" w:eastAsia="en-IL"/>
        </w:rPr>
        <w:t xml:space="preserve">), </w:t>
      </w:r>
      <w:r>
        <w:rPr>
          <w:rtl w:val="true"/>
          <w:lang w:val="en-IL" w:eastAsia="en-IL"/>
        </w:rPr>
        <w:t>התשפ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ב</w:t>
      </w:r>
      <w:r>
        <w:rPr>
          <w:rtl w:val="true"/>
          <w:lang w:val="en-IL" w:eastAsia="en-IL"/>
        </w:rPr>
        <w:t>-</w:t>
      </w:r>
      <w:r>
        <w:rPr>
          <w:lang w:val="en-IL" w:eastAsia="en-IL"/>
        </w:rPr>
        <w:t>2021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ס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2938</w:t>
      </w:r>
      <w:r>
        <w:rPr>
          <w:rtl w:val="true"/>
          <w:lang w:val="en-IL" w:eastAsia="en-IL"/>
        </w:rPr>
        <w:t>).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ב</w:t>
      </w:r>
      <w:hyperlink r:id="rId50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4406/19</w:t>
        </w:r>
      </w:hyperlink>
      <w:r>
        <w:rPr>
          <w:rtl w:val="true"/>
          <w:lang w:val="en-IL" w:eastAsia="en-IL"/>
        </w:rPr>
        <w:t xml:space="preserve"> </w:t>
      </w:r>
      <w:r>
        <w:rPr>
          <w:bCs/>
          <w:rtl w:val="true"/>
          <w:lang w:val="en-IL" w:eastAsia="en-IL"/>
        </w:rPr>
        <w:t>מדינת</w:t>
      </w:r>
      <w:r>
        <w:rPr>
          <w:rFonts w:cs="Times New Roman"/>
          <w:bCs/>
          <w:rtl w:val="true"/>
          <w:lang w:val="en-IL" w:eastAsia="en-IL"/>
        </w:rPr>
        <w:t xml:space="preserve"> </w:t>
      </w:r>
      <w:r>
        <w:rPr>
          <w:bCs/>
          <w:rtl w:val="true"/>
          <w:lang w:val="en-IL" w:eastAsia="en-IL"/>
        </w:rPr>
        <w:t>ישראל</w:t>
      </w:r>
      <w:r>
        <w:rPr>
          <w:rFonts w:cs="Times New Roman"/>
          <w:bCs/>
          <w:rtl w:val="true"/>
          <w:lang w:val="en-IL" w:eastAsia="en-IL"/>
        </w:rPr>
        <w:t xml:space="preserve"> </w:t>
      </w:r>
      <w:r>
        <w:rPr>
          <w:bCs/>
          <w:rtl w:val="true"/>
          <w:lang w:val="en-IL" w:eastAsia="en-IL"/>
        </w:rPr>
        <w:t>נ</w:t>
      </w:r>
      <w:r>
        <w:rPr>
          <w:bCs/>
          <w:rtl w:val="true"/>
          <w:lang w:val="en-IL" w:eastAsia="en-IL"/>
        </w:rPr>
        <w:t xml:space="preserve">' </w:t>
      </w:r>
      <w:r>
        <w:rPr>
          <w:bCs/>
          <w:rtl w:val="true"/>
          <w:lang w:val="en-IL" w:eastAsia="en-IL"/>
        </w:rPr>
        <w:t>סובח</w:t>
      </w:r>
      <w:r>
        <w:rPr>
          <w:b/>
          <w:rtl w:val="true"/>
          <w:lang w:val="en-IL" w:eastAsia="en-IL"/>
        </w:rPr>
        <w:t xml:space="preserve">, </w:t>
      </w:r>
      <w:r>
        <w:rPr>
          <w:b/>
          <w:b/>
          <w:rtl w:val="true"/>
          <w:lang w:val="en-IL" w:eastAsia="en-IL"/>
        </w:rPr>
        <w:t>פסקאות</w:t>
      </w:r>
      <w:r>
        <w:rPr>
          <w:rFonts w:cs="Times New Roman"/>
          <w:b/>
          <w:b/>
          <w:rtl w:val="true"/>
          <w:lang w:val="en-IL" w:eastAsia="en-IL"/>
        </w:rPr>
        <w:t xml:space="preserve"> </w:t>
      </w:r>
      <w:r>
        <w:rPr>
          <w:b/>
          <w:lang w:val="en-IL" w:eastAsia="en-IL"/>
        </w:rPr>
        <w:t>16-15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5.11.2019</w:t>
      </w:r>
      <w:r>
        <w:rPr>
          <w:rtl w:val="true"/>
          <w:lang w:val="en-IL" w:eastAsia="en-IL"/>
        </w:rPr>
        <w:t>)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צוינו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דברים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אלו</w:t>
      </w:r>
      <w:r>
        <w:rPr>
          <w:rtl w:val="true"/>
          <w:lang w:val="en-IL" w:eastAsia="en-IL"/>
        </w:rPr>
        <w:t>:</w:t>
      </w:r>
    </w:p>
    <w:p>
      <w:pPr>
        <w:pStyle w:val="ListParagraph"/>
        <w:ind w:end="0"/>
        <w:jc w:val="start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before="0" w:after="0"/>
        <w:ind w:start="1134" w:end="567"/>
        <w:contextualSpacing/>
        <w:jc w:val="both"/>
        <w:rPr>
          <w:b/>
          <w:bCs/>
          <w:lang w:val="en-IL" w:eastAsia="en-IL"/>
        </w:rPr>
      </w:pPr>
      <w:r>
        <w:rPr>
          <w:rtl w:val="true"/>
          <w:lang w:val="en-IL" w:eastAsia="en-IL"/>
        </w:rPr>
        <w:t>"</w:t>
      </w:r>
      <w:r>
        <w:rPr>
          <w:b/>
          <w:bCs/>
          <w:rtl w:val="true"/>
          <w:lang w:val="en-IL" w:eastAsia="en-IL"/>
        </w:rPr>
        <w:t xml:space="preserve">[...] </w:t>
      </w:r>
      <w:r>
        <w:rPr>
          <w:b/>
          <w:b/>
          <w:bCs/>
          <w:rtl w:val="true"/>
          <w:lang w:val="en-IL" w:eastAsia="en-IL"/>
        </w:rPr>
        <w:t>לעיתים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מדיניות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הענישה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הנוהגת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ביחס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לעבירה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מסוימת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אינה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מספקת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ועל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המשפט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להורות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החמרה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בענישה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לקדם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ולהגן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הערכים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אשר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ביסודה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ובכך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לבלום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נפיצותן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עבירות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מסוימות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ההופכות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</w:t>
      </w:r>
      <w:r>
        <w:rPr>
          <w:b/>
          <w:bCs/>
          <w:rtl w:val="true"/>
          <w:lang w:val="en-IL" w:eastAsia="en-IL"/>
        </w:rPr>
        <w:t>'</w:t>
      </w:r>
      <w:r>
        <w:rPr>
          <w:b/>
          <w:b/>
          <w:bCs/>
          <w:rtl w:val="true"/>
          <w:lang w:val="en-IL" w:eastAsia="en-IL"/>
        </w:rPr>
        <w:t>מכת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מדינה</w:t>
      </w:r>
      <w:r>
        <w:rPr>
          <w:b/>
          <w:bCs/>
          <w:rtl w:val="true"/>
          <w:lang w:val="en-IL" w:eastAsia="en-IL"/>
        </w:rPr>
        <w:t>'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ולתת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ביטוי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לחומרה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שיש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לייחס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להן</w:t>
      </w:r>
      <w:r>
        <w:rPr>
          <w:b/>
          <w:bCs/>
          <w:rtl w:val="true"/>
          <w:lang w:val="en-IL" w:eastAsia="en-IL"/>
        </w:rPr>
        <w:t>.</w:t>
      </w:r>
      <w:r>
        <w:rPr>
          <w:b/>
          <w:bCs/>
          <w:rtl w:val="true"/>
          <w:lang w:val="en-IL" w:eastAsia="en-IL"/>
        </w:rPr>
        <w:t>..</w:t>
      </w:r>
      <w:r>
        <w:rPr>
          <w:b/>
          <w:bCs/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השימוש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ככלי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ליישוב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סכסוכים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הפך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לרעה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חולה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וכמעשה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יום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ביומו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גובה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חיי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אדם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ולעיתים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אף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חייהם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חפים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מפשע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אשר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חטאם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היה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התהלכו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באותה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ברחובה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עיר</w:t>
      </w:r>
      <w:r>
        <w:rPr>
          <w:b/>
          <w:bCs/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בשנים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האחרונות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אף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חלה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עליה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מתמדת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במספר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אירועי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הירי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המדווחים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למשטרה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Cs/>
          <w:rtl w:val="true"/>
          <w:lang w:val="en-IL" w:eastAsia="en-IL"/>
        </w:rPr>
        <w:t xml:space="preserve">[...].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רקע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המציאות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אותה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אנו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חווים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למרבה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הצער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יום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אנו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עדים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לקריאה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ציבורית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נרגשת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להגברת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האכיפה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כלפי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עבירות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ולהחמרה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במדיניות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הענישה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הנוהגת</w:t>
      </w:r>
      <w:r>
        <w:rPr>
          <w:rtl w:val="true"/>
          <w:lang w:val="en-IL" w:eastAsia="en-IL"/>
        </w:rPr>
        <w:t>".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ab/>
      </w:r>
      <w:r>
        <w:rPr>
          <w:rtl w:val="true"/>
          <w:lang w:val="en-IL" w:eastAsia="en-IL"/>
        </w:rPr>
        <w:t>ב</w:t>
      </w:r>
      <w:hyperlink r:id="rId51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147/21</w:t>
        </w:r>
      </w:hyperlink>
      <w:r>
        <w:rPr>
          <w:rtl w:val="true"/>
          <w:lang w:val="en-IL" w:eastAsia="en-IL"/>
        </w:rPr>
        <w:t xml:space="preserve"> </w:t>
      </w:r>
      <w:r>
        <w:rPr>
          <w:bCs/>
          <w:rtl w:val="true"/>
          <w:lang w:val="en-IL" w:eastAsia="en-IL"/>
        </w:rPr>
        <w:t>מדינת</w:t>
      </w:r>
      <w:r>
        <w:rPr>
          <w:rFonts w:cs="Times New Roman"/>
          <w:bCs/>
          <w:rtl w:val="true"/>
          <w:lang w:val="en-IL" w:eastAsia="en-IL"/>
        </w:rPr>
        <w:t xml:space="preserve"> </w:t>
      </w:r>
      <w:r>
        <w:rPr>
          <w:bCs/>
          <w:rtl w:val="true"/>
          <w:lang w:val="en-IL" w:eastAsia="en-IL"/>
        </w:rPr>
        <w:t>ישראל</w:t>
      </w:r>
      <w:r>
        <w:rPr>
          <w:rFonts w:cs="Times New Roman"/>
          <w:bCs/>
          <w:rtl w:val="true"/>
          <w:lang w:val="en-IL" w:eastAsia="en-IL"/>
        </w:rPr>
        <w:t xml:space="preserve"> </w:t>
      </w:r>
      <w:r>
        <w:rPr>
          <w:bCs/>
          <w:rtl w:val="true"/>
          <w:lang w:val="en-IL" w:eastAsia="en-IL"/>
        </w:rPr>
        <w:t>נ</w:t>
      </w:r>
      <w:r>
        <w:rPr>
          <w:bCs/>
          <w:rtl w:val="true"/>
          <w:lang w:val="en-IL" w:eastAsia="en-IL"/>
        </w:rPr>
        <w:t xml:space="preserve">' </w:t>
      </w:r>
      <w:r>
        <w:rPr>
          <w:bCs/>
          <w:rtl w:val="true"/>
          <w:lang w:val="en-IL" w:eastAsia="en-IL"/>
        </w:rPr>
        <w:t>ביטון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14.2.2021</w:t>
      </w:r>
      <w:r>
        <w:rPr>
          <w:rtl w:val="true"/>
          <w:lang w:val="en-IL" w:eastAsia="en-IL"/>
        </w:rPr>
        <w:t>) 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 xml:space="preserve">: </w:t>
      </w:r>
      <w:r>
        <w:rPr>
          <w:rtl w:val="true"/>
          <w:lang w:val="en-IL" w:eastAsia="en-IL"/>
        </w:rPr>
        <w:t>עניין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ביטון</w:t>
      </w:r>
      <w:r>
        <w:rPr>
          <w:rtl w:val="true"/>
          <w:lang w:val="en-IL" w:eastAsia="en-IL"/>
        </w:rPr>
        <w:t xml:space="preserve">) </w:t>
      </w:r>
      <w:r>
        <w:rPr>
          <w:rtl w:val="true"/>
          <w:lang w:val="en-IL" w:eastAsia="en-IL"/>
        </w:rPr>
        <w:t>הוסיף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וקבע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כלהלן</w:t>
      </w:r>
      <w:r>
        <w:rPr>
          <w:rtl w:val="true"/>
          <w:lang w:val="en-IL" w:eastAsia="en-IL"/>
        </w:rPr>
        <w:t>: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before="0" w:after="0"/>
        <w:ind w:start="1134" w:end="1134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"</w:t>
      </w:r>
      <w:r>
        <w:rPr>
          <w:b/>
          <w:b/>
          <w:bCs/>
          <w:rtl w:val="true"/>
          <w:lang w:val="en-IL" w:eastAsia="en-IL"/>
        </w:rPr>
        <w:t>עבירות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לסוגיהן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היו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זה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מכבר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למכת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מדינה</w:t>
      </w:r>
      <w:r>
        <w:rPr>
          <w:b/>
          <w:bCs/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האיסורים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עבירות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כאמור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באים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להגן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ערכים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חברתיים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שכוללים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שמירה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חיי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אדם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שלמות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גופו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וכן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שמירה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סדרי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חיים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תקינים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ושלווים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שאינם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מופרעים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ידי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איש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האוחז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באקדח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ברובה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או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בתת</w:t>
      </w:r>
      <w:r>
        <w:rPr>
          <w:b/>
          <w:bCs/>
          <w:rtl w:val="true"/>
          <w:lang w:val="en-IL" w:eastAsia="en-IL"/>
        </w:rPr>
        <w:t>-</w:t>
      </w:r>
      <w:r>
        <w:rPr>
          <w:b/>
          <w:b/>
          <w:bCs/>
          <w:rtl w:val="true"/>
          <w:lang w:val="en-IL" w:eastAsia="en-IL"/>
        </w:rPr>
        <w:t>מקלע</w:t>
      </w:r>
      <w:r>
        <w:rPr>
          <w:b/>
          <w:bCs/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יתירה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מכך</w:t>
      </w:r>
      <w:r>
        <w:rPr>
          <w:b/>
          <w:bCs/>
          <w:rtl w:val="true"/>
          <w:lang w:val="en-IL" w:eastAsia="en-IL"/>
        </w:rPr>
        <w:t xml:space="preserve">: </w:t>
      </w:r>
      <w:r>
        <w:rPr>
          <w:b/>
          <w:b/>
          <w:bCs/>
          <w:rtl w:val="true"/>
          <w:lang w:val="en-IL" w:eastAsia="en-IL"/>
        </w:rPr>
        <w:t>עסקינן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באיסורים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מעשי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הכנה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לקראת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ביצועם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מעשים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פליליים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חמורים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ומסוכנים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עד</w:t>
      </w:r>
      <w:r>
        <w:rPr>
          <w:b/>
          <w:bCs/>
          <w:rtl w:val="true"/>
          <w:lang w:val="en-IL" w:eastAsia="en-IL"/>
        </w:rPr>
        <w:t>-</w:t>
      </w:r>
      <w:r>
        <w:rPr>
          <w:b/>
          <w:b/>
          <w:bCs/>
          <w:rtl w:val="true"/>
          <w:lang w:val="en-IL" w:eastAsia="en-IL"/>
        </w:rPr>
        <w:t>מאד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אשר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נעשים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באמצעות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כלי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ירייה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ואשר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כוללים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איומים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תקיפה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ירי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במקום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מגורים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גרימת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חבלה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והמתה</w:t>
      </w:r>
      <w:r>
        <w:rPr>
          <w:b/>
          <w:bCs/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בדרך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כלל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מעשי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הכנה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שאינם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מגיעים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כדי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ניסיון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לעבור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עבירה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פלילית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אינם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בני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עונשין</w:t>
      </w:r>
      <w:r>
        <w:rPr>
          <w:b/>
          <w:bCs/>
          <w:rtl w:val="true"/>
          <w:lang w:val="en-IL" w:eastAsia="en-IL"/>
        </w:rPr>
        <w:t xml:space="preserve">; </w:t>
      </w:r>
      <w:r>
        <w:rPr>
          <w:b/>
          <w:b/>
          <w:bCs/>
          <w:rtl w:val="true"/>
          <w:lang w:val="en-IL" w:eastAsia="en-IL"/>
        </w:rPr>
        <w:t>ואולם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לא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כך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הוא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כאשר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מדובר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במעשי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הכנה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שחומרתם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מגיעה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כדי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סיכון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ממשי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וחמור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לפרט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ולחברה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כאחד</w:t>
      </w:r>
      <w:r>
        <w:rPr>
          <w:b/>
          <w:bCs/>
          <w:rtl w:val="true"/>
          <w:lang w:val="en-IL" w:eastAsia="en-IL"/>
        </w:rPr>
        <w:t>...</w:t>
      </w:r>
      <w:r>
        <w:rPr>
          <w:b/>
          <w:bCs/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מעשי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הכנה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כאלה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נענשים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בחומרה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ואין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זה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מקרי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שעצם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הרכישה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ההחזקה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כלי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בלא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רשות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פי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דין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להחזקתו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גוררת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אחריה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עונש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מרבי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שבע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שנות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מאסר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כאמור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בסעיף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Cs/>
          <w:lang w:val="en-IL" w:eastAsia="en-IL"/>
        </w:rPr>
        <w:t>144</w:t>
      </w:r>
      <w:r>
        <w:rPr>
          <w:b/>
          <w:bCs/>
          <w:rtl w:val="true"/>
          <w:lang w:val="en-IL" w:eastAsia="en-IL"/>
        </w:rPr>
        <w:t>(</w:t>
      </w:r>
      <w:r>
        <w:rPr>
          <w:b/>
          <w:b/>
          <w:bCs/>
          <w:rtl w:val="true"/>
          <w:lang w:val="en-IL" w:eastAsia="en-IL"/>
        </w:rPr>
        <w:t>א</w:t>
      </w:r>
      <w:r>
        <w:rPr>
          <w:b/>
          <w:bCs/>
          <w:rtl w:val="true"/>
          <w:lang w:val="en-IL" w:eastAsia="en-IL"/>
        </w:rPr>
        <w:t xml:space="preserve">) </w:t>
      </w:r>
      <w:r>
        <w:rPr>
          <w:b/>
          <w:b/>
          <w:bCs/>
          <w:rtl w:val="true"/>
          <w:lang w:val="en-IL" w:eastAsia="en-IL"/>
        </w:rPr>
        <w:t>ל</w:t>
      </w:r>
      <w:hyperlink r:id="rId52">
        <w:r>
          <w:rPr>
            <w:rStyle w:val="Hyperlink"/>
            <w:b/>
            <w:b/>
            <w:bCs/>
            <w:color w:val="0000FF"/>
            <w:u w:val="single"/>
            <w:rtl w:val="true"/>
            <w:lang w:val="en-IL" w:eastAsia="en-IL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IL" w:eastAsia="en-IL"/>
          </w:rPr>
          <w:t>העונשין</w:t>
        </w:r>
      </w:hyperlink>
      <w:r>
        <w:rPr>
          <w:b/>
          <w:bCs/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עונש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זה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ועונשים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אחרים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שחלקם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חמורים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אף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יותר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אשר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מוטלים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עברייני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נשק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מהווים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חלק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ממלחמתה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הבלתי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מתפשרת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החברה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בנגע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ששמו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זילות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חיי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אדם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והקלות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הבלתי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נסבלת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הלחיצה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ההדק</w:t>
      </w:r>
      <w:r>
        <w:rPr>
          <w:b/>
          <w:bCs/>
          <w:rtl w:val="true"/>
          <w:lang w:val="en-IL" w:eastAsia="en-IL"/>
        </w:rPr>
        <w:t xml:space="preserve">. [...] </w:t>
      </w:r>
      <w:r>
        <w:rPr>
          <w:b/>
          <w:b/>
          <w:bCs/>
          <w:rtl w:val="true"/>
          <w:lang w:val="en-IL" w:eastAsia="en-IL"/>
        </w:rPr>
        <w:t>הטלת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עונשים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חמורים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ומרתיעים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עברייני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היא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עיקר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תרומתם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בתי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המשפט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למיגור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התופעה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ולהרחקת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העבריין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האקדח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משגרת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חייהם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אזרחי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שומרי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חוק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.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ab/>
      </w:r>
      <w:r>
        <w:rPr>
          <w:rtl w:val="true"/>
          <w:lang w:val="en-IL" w:eastAsia="en-IL"/>
        </w:rPr>
        <w:t>וראו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פסיקה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ברוח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דומה</w:t>
      </w:r>
      <w:r>
        <w:rPr>
          <w:rtl w:val="true"/>
          <w:lang w:val="en-IL" w:eastAsia="en-IL"/>
        </w:rPr>
        <w:t xml:space="preserve">: </w:t>
      </w:r>
      <w:hyperlink r:id="rId53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5522/20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חלייחל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24.2.2021</w:t>
      </w:r>
      <w:r>
        <w:rPr>
          <w:rtl w:val="true"/>
          <w:lang w:val="en-IL" w:eastAsia="en-IL"/>
        </w:rPr>
        <w:t xml:space="preserve">); </w:t>
      </w:r>
      <w:hyperlink r:id="rId54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4207/21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נורי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28.7.2021</w:t>
      </w:r>
      <w:r>
        <w:rPr>
          <w:rtl w:val="true"/>
          <w:lang w:val="en-IL" w:eastAsia="en-IL"/>
        </w:rPr>
        <w:t xml:space="preserve">); </w:t>
      </w:r>
      <w:hyperlink r:id="rId55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4456/21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אבו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עבסה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23.1.2022</w:t>
      </w:r>
      <w:r>
        <w:rPr>
          <w:rtl w:val="true"/>
          <w:lang w:val="en-IL" w:eastAsia="en-IL"/>
        </w:rPr>
        <w:t xml:space="preserve">); </w:t>
      </w:r>
      <w:hyperlink r:id="rId56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8869/21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קואסמה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13.3.2022</w:t>
      </w:r>
      <w:r>
        <w:rPr>
          <w:rtl w:val="true"/>
          <w:lang w:val="en-IL" w:eastAsia="en-IL"/>
        </w:rPr>
        <w:t>)</w:t>
      </w:r>
      <w:r>
        <w:rPr>
          <w:rtl w:val="true"/>
          <w:lang w:val="en-IL" w:eastAsia="en-IL"/>
        </w:rPr>
        <w:t>;</w:t>
      </w:r>
      <w:r>
        <w:rPr>
          <w:rtl w:val="true"/>
          <w:lang w:val="en-IL" w:eastAsia="en-IL"/>
        </w:rPr>
        <w:t xml:space="preserve"> </w:t>
      </w:r>
      <w:hyperlink r:id="rId57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579/22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טחאינה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13.6.2022</w:t>
      </w:r>
      <w:r>
        <w:rPr>
          <w:rtl w:val="true"/>
          <w:lang w:val="en-IL" w:eastAsia="en-IL"/>
        </w:rPr>
        <w:t>)).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0" w:start="0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ע</w:t>
      </w:r>
      <w:r>
        <w:rPr>
          <w:rtl w:val="true"/>
          <w:lang w:val="en-IL" w:eastAsia="en-IL"/>
        </w:rPr>
        <w:t>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נוספת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שיבוש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מהלכי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משפט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נועדה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להגנה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טוהר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השיפוטי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תקינותם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הליכים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משפטיים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וכן</w:t>
      </w:r>
      <w:r>
        <w:rPr>
          <w:rFonts w:cs="Times New Roman"/>
          <w:rtl w:val="true"/>
          <w:lang w:val="en-IL" w:eastAsia="en-IL"/>
        </w:rPr>
        <w:t xml:space="preserve">  </w:t>
      </w:r>
      <w:r>
        <w:rPr>
          <w:rtl w:val="true"/>
          <w:lang w:val="en-IL" w:eastAsia="en-IL"/>
        </w:rPr>
        <w:t>להבטיח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קיומה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מערכת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תקינה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עשיית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צדק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הראויה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לאמון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הציבור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הערכים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המוגנים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חוקית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הינם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כיבוד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החלטות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שיפוטיות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שמירה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הציבורי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והגנה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שלטון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החו</w:t>
      </w:r>
      <w:r>
        <w:rPr>
          <w:rtl w:val="true"/>
          <w:lang w:val="en-IL" w:eastAsia="en-IL"/>
        </w:rPr>
        <w:t>ק</w:t>
      </w:r>
      <w:r>
        <w:rPr>
          <w:rtl w:val="true"/>
          <w:lang w:val="en-IL" w:eastAsia="en-IL"/>
        </w:rPr>
        <w:t>.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lang w:val="en-IL" w:eastAsia="en-IL"/>
        </w:rPr>
      </w:pPr>
      <w:r>
        <w:rPr>
          <w:rFonts w:cs="Times New Roman"/>
          <w:rtl w:val="true"/>
          <w:lang w:val="en-IL" w:eastAsia="en-IL"/>
        </w:rPr>
        <w:t xml:space="preserve"> </w:t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0" w:start="0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אין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צורך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להרחיב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רושפות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מסוכנות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הובלה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ונשיאה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ללמוד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הסיכון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ומהפגיעה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בערכים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המוגנים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אינני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מקבל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טענת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הסנגורים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העובדה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ההליכים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נגרם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נזק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מהווה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שיקול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לקולא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זו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תפיסה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רואה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התמונה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החומרה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טמונה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בסיכון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החמור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שנשיאת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יוצרות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לפגיעה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בנפש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ולערעור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הבטחון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האישי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במילים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אחרות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הדגש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פוטנציאל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הנזק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הנזק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והפוטנציאל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עצום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במיוחד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נישא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ומובל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ממקום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במרחב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הציבורי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והופך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נגיש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ראו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היתר</w:t>
      </w:r>
      <w:r>
        <w:rPr>
          <w:rFonts w:cs="Times New Roman"/>
          <w:rtl w:val="true"/>
          <w:lang w:val="en-IL" w:eastAsia="en-IL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8416/09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חרבוש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סעיפים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17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>-</w:t>
      </w:r>
      <w:r>
        <w:rPr>
          <w:lang w:val="en-IL" w:eastAsia="en-IL"/>
        </w:rPr>
        <w:t>53</w:t>
      </w:r>
      <w:r>
        <w:rPr>
          <w:rtl w:val="true"/>
          <w:lang w:val="en-IL" w:eastAsia="en-IL"/>
        </w:rPr>
        <w:t xml:space="preserve"> (</w:t>
      </w:r>
      <w:r>
        <w:rPr>
          <w:lang w:val="en-IL" w:eastAsia="en-IL"/>
        </w:rPr>
        <w:t>9.6.2010</w:t>
      </w:r>
      <w:r>
        <w:rPr>
          <w:rtl w:val="true"/>
          <w:lang w:val="en-IL" w:eastAsia="en-IL"/>
        </w:rPr>
        <w:t>)).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נגזים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אפוא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נאמר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הנזק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צפוי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קטלני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פחות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מכך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במלים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אחרות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שנושא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ומוביל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באופן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בלתי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חוקי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מצהיר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עצמו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אדם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מסוכן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להיתמם</w:t>
      </w:r>
      <w:r>
        <w:rPr>
          <w:rtl w:val="true"/>
          <w:lang w:val="en-IL" w:eastAsia="en-IL"/>
        </w:rPr>
        <w:t xml:space="preserve">. </w:t>
      </w:r>
    </w:p>
    <w:p>
      <w:pPr>
        <w:pStyle w:val="ListParagraph"/>
        <w:ind w:end="0"/>
        <w:jc w:val="start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160"/>
        <w:ind w:hanging="0" w:start="0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נוכח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קביעותיי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הנוכחי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וקבלת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הגרסה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החלופית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ניתן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לומר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הוכח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שהתכנון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שקדם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משמעותי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נזכיר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ascii="David" w:hAnsi="David"/>
          <w:rtl w:val="true"/>
        </w:rPr>
        <w:t>בעוד שבכתב האישום נטען כי לאורך כל הנסיעה הנאשם נשא את האקדח על גופו באזור הבטן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בהכרעת הדין נקבע כי </w:t>
      </w:r>
      <w:r>
        <w:rPr>
          <w:rFonts w:ascii="David" w:hAnsi="David"/>
          <w:rtl w:val="true"/>
        </w:rPr>
        <w:t xml:space="preserve">קיים ספק לגבי </w:t>
      </w:r>
      <w:r>
        <w:rPr>
          <w:rFonts w:ascii="David" w:hAnsi="David"/>
          <w:rtl w:val="true"/>
        </w:rPr>
        <w:t>התיאור לפיו ע</w:t>
      </w:r>
      <w:r>
        <w:rPr>
          <w:rFonts w:ascii="David" w:hAnsi="David"/>
          <w:rtl w:val="true"/>
        </w:rPr>
        <w:t>ובר להשלכת האקדח על ידי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היה האקדח </w:t>
      </w:r>
      <w:r>
        <w:rPr>
          <w:rFonts w:ascii="David" w:hAnsi="David"/>
          <w:rtl w:val="true"/>
        </w:rPr>
        <w:t xml:space="preserve">כל העת </w:t>
      </w:r>
      <w:r>
        <w:rPr>
          <w:rFonts w:ascii="David" w:hAnsi="David"/>
          <w:rtl w:val="true"/>
        </w:rPr>
        <w:t>על גופו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וכי עשוי להיכו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תרחיש חלופי סביר לפיו הנשק היה על גופו של מנסור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הנהג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אך בשלב מסוים של הנסיעה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שהשניים הבחינו בשוטרים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נטל את הנשק לידיו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ביוזמתו ובין לבקשת מנסור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והשליכו</w:t>
      </w:r>
      <w:r>
        <w:rPr>
          <w:rFonts w:ascii="David" w:hAnsi="David"/>
          <w:rtl w:val="true"/>
        </w:rPr>
        <w:t xml:space="preserve"> לצדי הדרך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במסקנה עובדתית זו לא היה כדי לזכות את הנאשם מהעבירה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יש לשקול את הנסיבות האמורות בקביעת מתחם העונש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uppressLineNumbers/>
        <w:spacing w:lineRule="auto" w:line="360" w:before="0" w:after="160"/>
        <w:ind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0" w:start="0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כזכור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בהליך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המצורף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סיוע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לנשיאת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ולהובלותו</w:t>
      </w:r>
      <w:r>
        <w:rPr>
          <w:rtl w:val="true"/>
          <w:lang w:val="en-IL" w:eastAsia="en-IL"/>
        </w:rPr>
        <w:t xml:space="preserve">.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הקביעה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4876/15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3.12.2015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tl w:val="true"/>
        </w:rPr>
        <w:t xml:space="preserve">)).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Cs/>
          <w:rtl w:val="true"/>
        </w:rPr>
        <w:t>המסייע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חרף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תרומתו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למעשה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העבירה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כשמו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כן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הוא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–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נותר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מחוץ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למעגל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העברייני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הראשוני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ולכן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אחריותו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נחשבת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פחותה</w:t>
      </w:r>
      <w:r>
        <w:rPr>
          <w:b/>
          <w:rtl w:val="true"/>
        </w:rPr>
        <w:t>"</w:t>
      </w:r>
      <w:r>
        <w:rPr>
          <w:rtl w:val="true"/>
        </w:rPr>
        <w:t xml:space="preserve"> (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10153/07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קייסי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30.7.2012</w:t>
      </w:r>
      <w:r>
        <w:rPr>
          <w:rtl w:val="true"/>
        </w:rPr>
        <w:t xml:space="preserve">)).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, "</w:t>
      </w:r>
      <w:r>
        <w:rPr>
          <w:b/>
          <w:b/>
          <w:bCs/>
          <w:rtl w:val="true"/>
        </w:rPr>
        <w:t>ראוי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בבואו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המסייע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יעמיד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המסייע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העיקרי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אריתמטי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4463/12</w:t>
        </w:r>
      </w:hyperlink>
      <w:r>
        <w:rPr>
          <w:rtl w:val="true"/>
        </w:rPr>
        <w:t xml:space="preserve"> </w:t>
      </w:r>
      <w:r>
        <w:rPr>
          <w:bCs/>
          <w:rtl w:val="true"/>
        </w:rPr>
        <w:t>ארנבורג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</w:t>
      </w:r>
      <w:r>
        <w:rPr>
          <w:bCs/>
          <w:rtl w:val="true"/>
        </w:rPr>
        <w:t xml:space="preserve">' </w:t>
      </w:r>
      <w:r>
        <w:rPr>
          <w:bCs/>
          <w:rtl w:val="true"/>
        </w:rPr>
        <w:t>מדינת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13.9.2012</w:t>
      </w:r>
      <w:r>
        <w:rPr>
          <w:rtl w:val="true"/>
        </w:rPr>
        <w:t>)</w:t>
      </w:r>
      <w:r>
        <w:rPr>
          <w:rtl w:val="true"/>
        </w:rPr>
        <w:t>).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בנסיבותיו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המקרה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נראה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הסיוע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אפפו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חמורות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נפנה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לעובדות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המצורף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זיהה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נוכחות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משטרתית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יצא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נסע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נמלט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מהמקום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מרדף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נתפס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האקדח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והמחסנית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לידו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0" w:start="0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הנוספות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להקל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ראש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שיבוש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מהלכי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משפט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לזכור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נסיבותיה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מלמדות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חומרה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בפרט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לנוכח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העובדה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השיבוש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התבטא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בניסיון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להעלים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טעון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שהמשטרה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נוסעת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הקטנוע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ביחס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חוקית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מעידות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חומרה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כפולה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ומכופלת</w:t>
      </w:r>
      <w:r>
        <w:rPr>
          <w:rtl w:val="true"/>
          <w:lang w:val="en-IL" w:eastAsia="en-IL"/>
        </w:rPr>
        <w:t xml:space="preserve">: </w:t>
      </w:r>
      <w:r>
        <w:rPr>
          <w:rtl w:val="true"/>
          <w:lang w:val="en-IL" w:eastAsia="en-IL"/>
        </w:rPr>
        <w:t>התיק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נתון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בתנאים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מגבילים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המצורף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שמושאו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ובמהלך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התנאים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tl w:val="true"/>
          <w:lang w:val="en-IL" w:eastAsia="en-IL"/>
        </w:rPr>
        <w:t xml:space="preserve">. </w:t>
      </w:r>
      <w:r>
        <w:rPr>
          <w:rFonts w:ascii="David" w:hAnsi="David"/>
          <w:rtl w:val="true"/>
        </w:rPr>
        <w:t>בהקשר לעבירה זו זה אין לקבל את טענת הנאשם כי הוא הפר את התנאים המגבילים לשם קבלת טיפול רפואי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הובאה כל ראיה לטענה זו</w:t>
      </w:r>
      <w:r>
        <w:rPr>
          <w:rFonts w:cs="David" w:ascii="David" w:hAnsi="David"/>
          <w:rtl w:val="true"/>
        </w:rPr>
        <w:t>.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לבסוף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לייעד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חומרה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לעובדה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מחוץ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למעצר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בניגוד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להחלטת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תקופה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ממושכת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3.2.2022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ועד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7.2.2022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0" w:start="0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למדיניות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הנוהגת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דומה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אמר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דברו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בבירור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</w:t>
      </w:r>
      <w:hyperlink r:id="rId64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5602/22</w:t>
        </w:r>
      </w:hyperlink>
      <w:r>
        <w:rPr>
          <w:rtl w:val="true"/>
          <w:lang w:val="en-IL" w:eastAsia="en-IL"/>
        </w:rPr>
        <w:t xml:space="preserve"> 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פלוני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שניתן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לאחרונה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14.9.2022</w:t>
      </w:r>
      <w:r>
        <w:rPr>
          <w:rtl w:val="true"/>
          <w:lang w:val="en-IL" w:eastAsia="en-IL"/>
        </w:rPr>
        <w:t xml:space="preserve"> 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 xml:space="preserve">: </w:t>
      </w:r>
      <w:r>
        <w:rPr>
          <w:b/>
          <w:b/>
          <w:bCs/>
          <w:rtl w:val="true"/>
          <w:lang w:val="en-IL" w:eastAsia="en-IL"/>
        </w:rPr>
        <w:t>ע</w:t>
      </w:r>
      <w:r>
        <w:rPr>
          <w:b/>
          <w:bCs/>
          <w:rtl w:val="true"/>
          <w:lang w:val="en-IL" w:eastAsia="en-IL"/>
        </w:rPr>
        <w:t>"</w:t>
      </w:r>
      <w:r>
        <w:rPr>
          <w:b/>
          <w:b/>
          <w:bCs/>
          <w:rtl w:val="true"/>
          <w:lang w:val="en-IL" w:eastAsia="en-IL"/>
        </w:rPr>
        <w:t>פ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פלוני</w:t>
      </w:r>
      <w:r>
        <w:rPr>
          <w:rtl w:val="true"/>
          <w:lang w:val="en-IL" w:eastAsia="en-IL"/>
        </w:rPr>
        <w:t xml:space="preserve">), </w:t>
      </w:r>
      <w:r>
        <w:rPr>
          <w:rtl w:val="true"/>
          <w:lang w:val="en-IL" w:eastAsia="en-IL"/>
        </w:rPr>
        <w:t>ציין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שראוי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ברגיל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לקבוע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נשיאה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בלתי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חוקית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במרחב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הציבורי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>-</w:t>
      </w:r>
      <w:r>
        <w:rPr>
          <w:lang w:val="en-IL" w:eastAsia="en-IL"/>
        </w:rPr>
        <w:t>42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רכיבי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נוספים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נזכיר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פ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פלוני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Fonts w:ascii="Calibri" w:hAnsi="Calibri" w:eastAsia="Calibri" w:cs="Calibri"/>
          <w:rtl w:val="true"/>
          <w:lang w:val="en-IL" w:eastAsia="en-IL"/>
        </w:rPr>
        <w:t>בן</w:t>
      </w:r>
      <w:r>
        <w:rPr>
          <w:rFonts w:ascii="Calibri" w:hAnsi="Calibri" w:eastAsia="Calibri" w:cs="Calibri"/>
          <w:rtl w:val="true"/>
          <w:lang w:val="en-IL" w:eastAsia="en-IL"/>
        </w:rPr>
        <w:t xml:space="preserve"> כ</w:t>
      </w:r>
      <w:r>
        <w:rPr>
          <w:rFonts w:eastAsia="Calibri" w:cs="Calibri" w:ascii="Calibri" w:hAnsi="Calibri"/>
          <w:rtl w:val="true"/>
          <w:lang w:val="en-IL" w:eastAsia="en-IL"/>
        </w:rPr>
        <w:t>-</w:t>
      </w:r>
      <w:r>
        <w:rPr>
          <w:rFonts w:eastAsia="Calibri" w:cs="Calibri" w:ascii="Calibri" w:hAnsi="Calibri"/>
          <w:rtl w:val="true"/>
          <w:lang w:val="en-IL" w:eastAsia="en-IL"/>
        </w:rPr>
        <w:t xml:space="preserve"> </w:t>
      </w:r>
      <w:r>
        <w:rPr>
          <w:rFonts w:eastAsia="Calibri" w:cs="Calibri" w:ascii="Calibri" w:hAnsi="Calibri"/>
          <w:lang w:val="en-IL" w:eastAsia="en-IL"/>
        </w:rPr>
        <w:t>27</w:t>
      </w:r>
      <w:r>
        <w:rPr>
          <w:rFonts w:eastAsia="Calibri" w:cs="Calibri" w:ascii="Calibri" w:hAnsi="Calibri"/>
          <w:rtl w:val="true"/>
          <w:lang w:val="en-IL" w:eastAsia="en-IL"/>
        </w:rPr>
        <w:t xml:space="preserve"> </w:t>
      </w:r>
      <w:r>
        <w:rPr>
          <w:rFonts w:ascii="Calibri" w:hAnsi="Calibri" w:eastAsia="Calibri" w:cs="Calibri"/>
          <w:rtl w:val="true"/>
          <w:lang w:val="en-IL" w:eastAsia="en-IL"/>
        </w:rPr>
        <w:t>שלחובתו לא היו הרשעות קודמות</w:t>
      </w:r>
      <w:r>
        <w:rPr>
          <w:rFonts w:eastAsia="Calibri" w:cs="Calibri" w:ascii="Calibri" w:hAnsi="Calibri"/>
          <w:rtl w:val="true"/>
          <w:lang w:val="en-IL" w:eastAsia="en-IL"/>
        </w:rPr>
        <w:t xml:space="preserve">, </w:t>
      </w:r>
      <w:r>
        <w:rPr>
          <w:rFonts w:ascii="Calibri" w:hAnsi="Calibri" w:eastAsia="Calibri" w:cs="Calibri"/>
          <w:rtl w:val="true"/>
          <w:lang w:val="en-IL" w:eastAsia="en-IL"/>
        </w:rPr>
        <w:t>שהורשע בעבירה של נשיאת והובלת נשק ברכבו</w:t>
      </w:r>
      <w:r>
        <w:rPr>
          <w:rFonts w:eastAsia="Calibri" w:cs="Calibri" w:ascii="Calibri" w:hAnsi="Calibri"/>
          <w:rtl w:val="true"/>
          <w:lang w:val="en-IL" w:eastAsia="en-IL"/>
        </w:rPr>
        <w:t>.</w:t>
      </w:r>
      <w:r>
        <w:rPr>
          <w:rFonts w:eastAsia="Calibri" w:cs="Calibri" w:ascii="Calibri" w:hAnsi="Calibri"/>
          <w:sz w:val="22"/>
          <w:szCs w:val="22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הדברים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נאמרו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בהתייחס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נשיאה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והובלה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ובמקרה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שלפנינו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שיבוש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מהלכי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חקירה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והפרה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חוקית</w:t>
      </w:r>
      <w:r>
        <w:rPr>
          <w:rtl w:val="true"/>
          <w:lang w:val="en-IL" w:eastAsia="en-IL"/>
        </w:rPr>
        <w:t>.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 </w:t>
      </w:r>
    </w:p>
    <w:p>
      <w:pPr>
        <w:pStyle w:val="ListParagraph"/>
        <w:ind w:end="0"/>
        <w:jc w:val="start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0" w:start="0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הצדדים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הגיש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פסיקה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שלטענתו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תומכת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בעמדתו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אינני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רואה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לסקור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הפסיקה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חלק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הפסיקה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ניתנה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המחוזי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הפסיקה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פ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פלוני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ואף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תיקון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140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hyperlink r:id="rId65">
        <w:r>
          <w:rPr>
            <w:rStyle w:val="Hyperlink"/>
            <w:color w:val="0000FF"/>
            <w:u w:val="single"/>
            <w:rtl w:val="true"/>
            <w:lang w:val="en-IL" w:eastAsia="en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העונשין</w:t>
        </w:r>
      </w:hyperlink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חלקם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תואמות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המקרה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שלפנינו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אסתפק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בציון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מספר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מקרים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זאת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המקרה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בעניין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פלוני</w:t>
      </w:r>
      <w:r>
        <w:rPr>
          <w:rtl w:val="true"/>
          <w:lang w:val="en-IL" w:eastAsia="en-IL"/>
        </w:rPr>
        <w:t>.</w:t>
      </w:r>
    </w:p>
    <w:p>
      <w:pPr>
        <w:pStyle w:val="ListParagraph"/>
        <w:ind w:end="0"/>
        <w:jc w:val="start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 xml:space="preserve">(-) </w:t>
      </w:r>
      <w:hyperlink r:id="rId66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309/22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בידאסה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10.</w:t>
      </w:r>
      <w:r>
        <w:rPr>
          <w:lang w:val="en-IL" w:eastAsia="en-IL"/>
        </w:rPr>
        <w:t>5</w:t>
      </w:r>
      <w:r>
        <w:rPr>
          <w:lang w:val="en-IL" w:eastAsia="en-IL"/>
        </w:rPr>
        <w:t>.22</w:t>
      </w:r>
      <w:r>
        <w:rPr>
          <w:rtl w:val="true"/>
          <w:lang w:val="en-IL" w:eastAsia="en-IL"/>
        </w:rPr>
        <w:t>)</w:t>
      </w:r>
      <w:r>
        <w:rPr>
          <w:rtl w:val="true"/>
          <w:lang w:val="en-IL" w:eastAsia="en-IL"/>
        </w:rPr>
        <w:t xml:space="preserve">: </w:t>
      </w:r>
      <w:r>
        <w:rPr>
          <w:rtl w:val="true"/>
          <w:lang w:val="en-IL" w:eastAsia="en-IL"/>
        </w:rPr>
        <w:t>דובר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החזקת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נשיאת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והובלת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מסוג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קלצ</w:t>
      </w:r>
      <w:r>
        <w:rPr>
          <w:rtl w:val="true"/>
          <w:lang w:val="en-IL" w:eastAsia="en-IL"/>
        </w:rPr>
        <w:t>'</w:t>
      </w:r>
      <w:r>
        <w:rPr>
          <w:rtl w:val="true"/>
          <w:lang w:val="en-IL" w:eastAsia="en-IL"/>
        </w:rPr>
        <w:t>ניקוב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כדורים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אקדח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חצי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אוטומטי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מחסנית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וזאת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החזיקו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נשאו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והובילו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קושט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להציג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מצג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כאילו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מדובר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המסיע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וכלה</w:t>
      </w:r>
      <w:r>
        <w:rPr>
          <w:rtl w:val="true"/>
          <w:lang w:val="en-IL" w:eastAsia="en-IL"/>
        </w:rPr>
        <w:t>.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נרדפו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ניידת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משטרה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סטו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לכביש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עפר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ובהמשך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ברחו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רגלית</w:t>
      </w:r>
      <w:r>
        <w:rPr>
          <w:rtl w:val="true"/>
          <w:lang w:val="en-IL" w:eastAsia="en-IL"/>
        </w:rPr>
        <w:t>.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נעדר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פלילי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במסגרת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טיעון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טרם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ניהול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ההוכחות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קיבל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ערעור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המדינה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והחמיר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מ</w:t>
      </w:r>
      <w:r>
        <w:rPr>
          <w:u w:val="single"/>
          <w:rtl w:val="true"/>
          <w:lang w:val="en-IL" w:eastAsia="en-IL"/>
        </w:rPr>
        <w:t>-</w:t>
      </w:r>
      <w:r>
        <w:rPr>
          <w:u w:val="single"/>
          <w:lang w:val="en-IL" w:eastAsia="en-IL"/>
        </w:rPr>
        <w:t>19</w:t>
      </w:r>
      <w:r>
        <w:rPr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ל</w:t>
      </w:r>
      <w:r>
        <w:rPr>
          <w:u w:val="single"/>
          <w:rtl w:val="true"/>
          <w:lang w:val="en-IL" w:eastAsia="en-IL"/>
        </w:rPr>
        <w:t xml:space="preserve">- </w:t>
      </w:r>
      <w:r>
        <w:rPr>
          <w:u w:val="single"/>
          <w:lang w:val="en-IL" w:eastAsia="en-IL"/>
        </w:rPr>
        <w:t>30</w:t>
      </w:r>
      <w:r>
        <w:rPr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חודשים</w:t>
      </w:r>
      <w:r>
        <w:rPr>
          <w:rFonts w:cs="Times New Roman"/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מאסר</w:t>
      </w:r>
      <w:r>
        <w:rPr>
          <w:rFonts w:cs="Times New Roman"/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בפועל</w:t>
      </w:r>
      <w:r>
        <w:rPr>
          <w:u w:val="single"/>
          <w:rtl w:val="true"/>
          <w:lang w:val="en-IL" w:eastAsia="en-IL"/>
        </w:rPr>
        <w:t>.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 xml:space="preserve">(-) </w:t>
      </w:r>
      <w:hyperlink r:id="rId67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3877/16</w:t>
        </w:r>
      </w:hyperlink>
      <w:r>
        <w:rPr>
          <w:rtl w:val="true"/>
          <w:lang w:val="en-IL" w:eastAsia="en-IL"/>
        </w:rPr>
        <w:t xml:space="preserve"> ‏</w:t>
      </w:r>
      <w:r>
        <w:rPr>
          <w:b/>
          <w:b/>
          <w:bCs/>
          <w:rtl w:val="true"/>
          <w:lang w:val="en-IL" w:eastAsia="en-IL"/>
        </w:rPr>
        <w:t>ג</w:t>
      </w:r>
      <w:r>
        <w:rPr>
          <w:b/>
          <w:bCs/>
          <w:rtl w:val="true"/>
          <w:lang w:val="en-IL" w:eastAsia="en-IL"/>
        </w:rPr>
        <w:t>'</w:t>
      </w:r>
      <w:r>
        <w:rPr>
          <w:b/>
          <w:b/>
          <w:bCs/>
          <w:rtl w:val="true"/>
          <w:lang w:val="en-IL" w:eastAsia="en-IL"/>
        </w:rPr>
        <w:t>באלי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17.11.2016</w:t>
      </w:r>
      <w:r>
        <w:rPr>
          <w:rtl w:val="true"/>
          <w:lang w:val="en-IL" w:eastAsia="en-IL"/>
        </w:rPr>
        <w:t xml:space="preserve">):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נשיאת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והובלת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במסגרת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טיעון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בעקבות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סכסוך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קרוב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משפחה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לאחר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קבעו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קרוב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המשפחה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להיפגש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יישוב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הסכסוך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נסע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ברכבו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למקום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המפגש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קטין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כשהוא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נושא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אקדח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טעון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במחסנית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שהכילה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כדורים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האקדח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מסוג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גלוק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נגנב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קודם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בהתפרצות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לדירה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השרון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כשהגיע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למקום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המפגש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עצר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מאחורי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קרוב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משפחתו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והאחר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החביא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האקדח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במכנסיו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והתקרב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הקטין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הרכב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באותו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הגיעו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למקום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שוטרים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ולקטין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ידיים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כרע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לכיוון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הרצפה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והשליך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האקדח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מאחורי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גבו</w:t>
      </w:r>
      <w:r>
        <w:rPr>
          <w:rtl w:val="true"/>
          <w:lang w:val="en-IL" w:eastAsia="en-IL"/>
        </w:rPr>
        <w:t>.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המחוזי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u w:val="single"/>
          <w:lang w:val="en-IL" w:eastAsia="en-IL"/>
        </w:rPr>
        <w:t>34</w:t>
      </w:r>
      <w:r>
        <w:rPr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חודשי</w:t>
      </w:r>
      <w:r>
        <w:rPr>
          <w:rFonts w:cs="Times New Roman"/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מאסר</w:t>
      </w:r>
      <w:r>
        <w:rPr>
          <w:rFonts w:cs="Times New Roman"/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בפועל</w:t>
      </w:r>
      <w:r>
        <w:rPr>
          <w:u w:val="single"/>
          <w:rtl w:val="true"/>
          <w:lang w:val="en-IL" w:eastAsia="en-IL"/>
        </w:rPr>
        <w:t>,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25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פלילי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מכביד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דחה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הערעור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חומרת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 xml:space="preserve">(-) </w:t>
      </w:r>
      <w:hyperlink r:id="rId68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3728/22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מסאלחה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9.8.2022</w:t>
      </w:r>
      <w:r>
        <w:rPr>
          <w:rtl w:val="true"/>
          <w:lang w:val="en-IL" w:eastAsia="en-IL"/>
        </w:rPr>
        <w:t>)</w:t>
      </w:r>
      <w:r>
        <w:rPr>
          <w:rtl w:val="true"/>
          <w:lang w:val="en-IL" w:eastAsia="en-IL"/>
        </w:rPr>
        <w:t xml:space="preserve">: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</w:t>
      </w:r>
      <w:r>
        <w:rPr>
          <w:rtl w:val="true"/>
          <w:lang w:val="en-IL" w:eastAsia="en-IL"/>
        </w:rPr>
        <w:t>סיוע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לנשיאת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ולירי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שאינו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באזור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מגורים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בנשיאת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והובלת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</w:t>
      </w:r>
      <w:r>
        <w:rPr>
          <w:rtl w:val="true"/>
          <w:lang w:val="en-IL" w:eastAsia="en-IL"/>
        </w:rPr>
        <w:t>נסע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יריה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באקדח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שנשא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צעיר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משכיל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פלילי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הסובל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מבעיה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רפואית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נדון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בגין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חלקו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כמסייע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u w:val="single"/>
          <w:lang w:val="en-IL" w:eastAsia="en-IL"/>
        </w:rPr>
        <w:t>18</w:t>
      </w:r>
      <w:r>
        <w:rPr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חודשים</w:t>
      </w:r>
      <w:r>
        <w:rPr>
          <w:rFonts w:cs="Times New Roman"/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שותפו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פלילי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נדון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למאסר</w:t>
      </w:r>
      <w:r>
        <w:rPr>
          <w:rFonts w:cs="Times New Roman"/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בן</w:t>
      </w:r>
      <w:r>
        <w:rPr>
          <w:rFonts w:cs="Times New Roman"/>
          <w:u w:val="single"/>
          <w:rtl w:val="true"/>
          <w:lang w:val="en-IL" w:eastAsia="en-IL"/>
        </w:rPr>
        <w:t xml:space="preserve"> </w:t>
      </w:r>
      <w:r>
        <w:rPr>
          <w:u w:val="single"/>
          <w:lang w:val="en-IL" w:eastAsia="en-IL"/>
        </w:rPr>
        <w:t>35</w:t>
      </w:r>
      <w:r>
        <w:rPr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חודשים</w:t>
      </w:r>
      <w:r>
        <w:rPr>
          <w:rFonts w:cs="Times New Roman"/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בפועל</w:t>
      </w:r>
      <w:r>
        <w:rPr>
          <w:u w:val="single"/>
          <w:rtl w:val="true"/>
          <w:lang w:val="en-IL" w:eastAsia="en-IL"/>
        </w:rPr>
        <w:t>.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הערעור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חומרת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נדחה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 xml:space="preserve">(-) </w:t>
      </w:r>
      <w:hyperlink r:id="rId69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6021/21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עבוד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19.12.2021</w:t>
      </w:r>
      <w:r>
        <w:rPr>
          <w:rtl w:val="true"/>
          <w:lang w:val="en-IL" w:eastAsia="en-IL"/>
        </w:rPr>
        <w:t>)</w:t>
      </w:r>
      <w:r>
        <w:rPr>
          <w:rtl w:val="true"/>
          <w:lang w:val="en-IL" w:eastAsia="en-IL"/>
        </w:rPr>
        <w:t xml:space="preserve">: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נשיאת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מסוג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M16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והפרעה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לשוטר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פלילי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המחוזי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u w:val="single"/>
          <w:lang w:val="en-IL" w:eastAsia="en-IL"/>
        </w:rPr>
        <w:t>30</w:t>
      </w:r>
      <w:r>
        <w:rPr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חודשי</w:t>
      </w:r>
      <w:r>
        <w:rPr>
          <w:rFonts w:cs="Times New Roman"/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מאסר</w:t>
      </w:r>
      <w:r>
        <w:rPr>
          <w:rFonts w:cs="Times New Roman"/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הערעור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חומרת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נדחה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 xml:space="preserve"> 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 xml:space="preserve">(-) </w:t>
      </w:r>
      <w:hyperlink r:id="rId70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1658/22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נח</w:t>
      </w:r>
      <w:r>
        <w:rPr>
          <w:b/>
          <w:bCs/>
          <w:rtl w:val="true"/>
          <w:lang w:val="en-IL" w:eastAsia="en-IL"/>
        </w:rPr>
        <w:t>'</w:t>
      </w:r>
      <w:r>
        <w:rPr>
          <w:b/>
          <w:b/>
          <w:bCs/>
          <w:rtl w:val="true"/>
          <w:lang w:val="en-IL" w:eastAsia="en-IL"/>
        </w:rPr>
        <w:t>אש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19.6.2022</w:t>
      </w:r>
      <w:r>
        <w:rPr>
          <w:rtl w:val="true"/>
          <w:lang w:val="en-IL" w:eastAsia="en-IL"/>
        </w:rPr>
        <w:t>)</w:t>
      </w:r>
      <w:r>
        <w:rPr>
          <w:rtl w:val="true"/>
          <w:lang w:val="en-IL" w:eastAsia="en-IL"/>
        </w:rPr>
        <w:t xml:space="preserve">: </w:t>
      </w:r>
      <w:r>
        <w:rPr>
          <w:rtl w:val="true"/>
          <w:lang w:val="en-IL" w:eastAsia="en-IL"/>
        </w:rPr>
        <w:t>ה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נשיאה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והובלה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מקלע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עוזי</w:t>
      </w:r>
      <w:r>
        <w:rPr>
          <w:rtl w:val="true"/>
          <w:lang w:val="en-IL" w:eastAsia="en-IL"/>
        </w:rPr>
        <w:t xml:space="preserve">" </w:t>
      </w:r>
      <w:r>
        <w:rPr>
          <w:rtl w:val="true"/>
          <w:lang w:val="en-IL" w:eastAsia="en-IL"/>
        </w:rPr>
        <w:t>ומחסנית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המחוזי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u w:val="single"/>
          <w:lang w:val="en-IL" w:eastAsia="en-IL"/>
        </w:rPr>
        <w:t>26</w:t>
      </w:r>
      <w:r>
        <w:rPr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חודשי</w:t>
      </w:r>
      <w:r>
        <w:rPr>
          <w:rFonts w:cs="Times New Roman"/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מאסר</w:t>
      </w:r>
      <w:r>
        <w:rPr>
          <w:rFonts w:cs="Times New Roman"/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הערעור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חומרת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נדחה</w:t>
      </w:r>
      <w:r>
        <w:rPr>
          <w:rtl w:val="true"/>
          <w:lang w:val="en-IL" w:eastAsia="en-IL"/>
        </w:rPr>
        <w:t xml:space="preserve">.  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0" w:start="0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כאמור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כתבי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נפרדים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מגלם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אירוע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נפרד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ולפיכך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לקבוע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נפרד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המקרים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הנוכחי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ובהליך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המצורף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בהליך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הנוכחי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אמנם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להתחשב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שקשורת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שנקבעו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בהכרעת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ובכלל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הקביעה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נשיאת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והובלתו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הייתה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לפרק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זמן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מצומצם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נוספות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שיבוש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מהלכי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והפרת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חוקית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ביטוי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בקביעת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המתחם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בהינתן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שקשורות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קובע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ההולם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הנוכחי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>-</w:t>
      </w:r>
      <w:r>
        <w:rPr>
          <w:lang w:val="en-IL" w:eastAsia="en-IL"/>
        </w:rPr>
        <w:t>42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תנאי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לגבי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ההליך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המצורף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לעמדתי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ההולם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>-</w:t>
      </w:r>
      <w:r>
        <w:rPr>
          <w:lang w:val="en-IL" w:eastAsia="en-IL"/>
        </w:rPr>
        <w:t>30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בנוסף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תנאי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ונוכח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ראיתי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לכלול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במתחמים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קנס</w:t>
      </w:r>
      <w:r>
        <w:rPr>
          <w:rtl w:val="true"/>
          <w:lang w:val="en-IL" w:eastAsia="en-IL"/>
        </w:rPr>
        <w:t>.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rFonts w:ascii="Arial" w:hAnsi="Arial" w:cs="Arial"/>
          <w:lang w:val="en-IL" w:eastAsia="en-IL"/>
        </w:rPr>
      </w:pPr>
      <w:r>
        <w:rPr>
          <w:rFonts w:cs="Arial" w:ascii="Arial" w:hAnsi="Arial"/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0" w:start="0" w:end="0"/>
        <w:contextualSpacing/>
        <w:jc w:val="both"/>
        <w:rPr>
          <w:rFonts w:ascii="Arial" w:hAnsi="Arial" w:cs="Arial"/>
        </w:rPr>
      </w:pPr>
      <w:r>
        <w:rPr>
          <w:rtl w:val="true"/>
          <w:lang w:val="en-IL" w:eastAsia="en-IL"/>
        </w:rPr>
        <w:t>בשולי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פרק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יצוין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הסנגורים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לגזר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שניתן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מספר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ת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פ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11810-05-22</w:t>
      </w:r>
      <w:r>
        <w:rPr>
          <w:rtl w:val="true"/>
          <w:lang w:val="en-IL" w:eastAsia="en-IL"/>
        </w:rPr>
        <w:t xml:space="preserve">) </w:t>
      </w:r>
      <w:r>
        <w:rPr>
          <w:rtl w:val="true"/>
          <w:lang w:val="en-IL" w:eastAsia="en-IL"/>
        </w:rPr>
        <w:t>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קבעתי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לגבי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שבמועד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מלאו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18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וארבעה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–</w:t>
      </w:r>
      <w:r>
        <w:rPr>
          <w:rFonts w:cs="Times New Roman"/>
          <w:rtl w:val="true"/>
          <w:lang w:val="en-IL" w:eastAsia="en-IL"/>
        </w:rPr>
        <w:t xml:space="preserve"> 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>-</w:t>
      </w:r>
      <w:r>
        <w:rPr>
          <w:lang w:val="en-IL" w:eastAsia="en-IL"/>
        </w:rPr>
        <w:t>36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זאת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נשיאה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והובלה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הפרעה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לשוטר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במילוי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תפקידו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ומעשי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פזיזות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ורשלנות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קביעתי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מקרה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הקביעה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מתקיימת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הנסיבה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שקבועה</w:t>
      </w:r>
      <w:r>
        <w:rPr>
          <w:rFonts w:cs="Times New Roman"/>
          <w:rtl w:val="true"/>
          <w:lang w:val="en-IL" w:eastAsia="en-IL"/>
        </w:rPr>
        <w:t xml:space="preserve"> </w:t>
      </w:r>
      <w:hyperlink r:id="rId71">
        <w:r>
          <w:rPr>
            <w:rStyle w:val="Hyperlink"/>
            <w:rtl w:val="true"/>
            <w:lang w:val="en-IL" w:eastAsia="en-IL"/>
          </w:rPr>
          <w:t>בסעיף</w:t>
        </w:r>
        <w:r>
          <w:rPr>
            <w:rStyle w:val="Hyperlink"/>
            <w:rFonts w:cs="Times New Roman"/>
            <w:rtl w:val="true"/>
            <w:lang w:val="en-IL" w:eastAsia="en-IL"/>
          </w:rPr>
          <w:t xml:space="preserve"> </w:t>
        </w:r>
        <w:r>
          <w:rPr>
            <w:rStyle w:val="Hyperlink"/>
            <w:lang w:val="en-IL" w:eastAsia="en-IL"/>
          </w:rPr>
          <w:t>40</w:t>
        </w:r>
        <w:r>
          <w:rPr>
            <w:rStyle w:val="Hyperlink"/>
            <w:rtl w:val="true"/>
            <w:lang w:val="en-IL" w:eastAsia="en-IL"/>
          </w:rPr>
          <w:t>ט</w:t>
        </w:r>
        <w:r>
          <w:rPr>
            <w:rStyle w:val="Hyperlink"/>
            <w:rtl w:val="true"/>
            <w:lang w:val="en-IL" w:eastAsia="en-IL"/>
          </w:rPr>
          <w:t>(</w:t>
        </w:r>
        <w:r>
          <w:rPr>
            <w:rStyle w:val="Hyperlink"/>
            <w:rtl w:val="true"/>
            <w:lang w:val="en-IL" w:eastAsia="en-IL"/>
          </w:rPr>
          <w:t>א</w:t>
        </w:r>
        <w:r>
          <w:rPr>
            <w:rStyle w:val="Hyperlink"/>
            <w:rtl w:val="true"/>
            <w:lang w:val="en-IL" w:eastAsia="en-IL"/>
          </w:rPr>
          <w:t>)(</w:t>
        </w:r>
        <w:r>
          <w:rPr>
            <w:rStyle w:val="Hyperlink"/>
            <w:lang w:val="en-IL" w:eastAsia="en-IL"/>
          </w:rPr>
          <w:t>6</w:t>
        </w:r>
        <w:r>
          <w:rPr>
            <w:rStyle w:val="Hyperlink"/>
            <w:rtl w:val="true"/>
            <w:lang w:val="en-IL" w:eastAsia="en-IL"/>
          </w:rPr>
          <w:t>)</w:t>
        </w:r>
      </w:hyperlink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hyperlink r:id="rId72">
        <w:r>
          <w:rPr>
            <w:rStyle w:val="Hyperlink"/>
            <w:color w:val="0000FF"/>
            <w:u w:val="single"/>
            <w:rtl w:val="true"/>
            <w:lang w:val="en-IL" w:eastAsia="en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העונשין</w:t>
        </w:r>
      </w:hyperlink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שעוסקת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</w:t>
      </w:r>
      <w:r>
        <w:rPr>
          <w:rFonts w:ascii="Arial" w:hAnsi="Arial" w:cs="Arial"/>
          <w:rtl w:val="true"/>
        </w:rPr>
        <w:t>יכולתו של הנאשם להבין את אשר הוא עושה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הפסול שבמעשהו או את משמעות מעשהו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לרבות בשל </w:t>
      </w:r>
      <w:r>
        <w:rPr>
          <w:rFonts w:ascii="Arial" w:hAnsi="Arial" w:cs="Arial"/>
          <w:b/>
          <w:b/>
          <w:bCs/>
          <w:rtl w:val="true"/>
        </w:rPr>
        <w:t>גילו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באותו מקרה קבעתי כי </w:t>
      </w:r>
      <w:r>
        <w:rPr>
          <w:rFonts w:ascii="Arial" w:hAnsi="Arial" w:cs="Arial"/>
          <w:rtl w:val="true"/>
        </w:rPr>
        <w:t xml:space="preserve">בנסיבות מסוימות ובזיקה לקבוע </w:t>
      </w:r>
      <w:hyperlink r:id="rId73">
        <w:r>
          <w:rPr>
            <w:rStyle w:val="Hyperlink"/>
            <w:rFonts w:ascii="Arial" w:hAnsi="Arial" w:cs="Arial"/>
            <w:rtl w:val="true"/>
          </w:rPr>
          <w:t xml:space="preserve">בסעיף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ט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>–  גילו של הנאשם עשוי להשפיע על קביעת המתחם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המקרה שלפניי שונות לגמרי מהנסיבות שנדונו במקרה אליו מפנים הסנגורים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ומצדיקות שקילת נסיבת הגיל אך בגדר הנסיבות שאינן קשורות לביצוע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אבהיר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הנאשם כאן בגיר יותר מאשר הנאשם שם ולא רק מבחינת הגיל הביולוגי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בשונה מהמקרה אליו מפנים הסנגורים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כאן המדובר בנאשם שהוא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בשל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יותר ומתוחכם יותר ונזכיר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הנאשם לא נרתע מביצוע עבירת נשק נוספת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שחודש לפני כן נעצר בגין עבירה דומה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העבירה המאוחרת אף בוצעה כשהוא במעצר בית שהוטל בגין המקרה הקודם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מכלול הנסיבות ובפרט התסקיר בעניינו של הנאשם כאן מגלה תמונה שונה ואף מדאיגה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הערכת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מעורבות הנאשם בעבירות מגלה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פיתוח דפוס התנהגות עברייני הכולל זיקה לנשק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וכן</w:t>
      </w:r>
      <w:r>
        <w:rPr>
          <w:rFonts w:cs="Arial" w:ascii="Arial" w:hAnsi="Arial"/>
          <w:rtl w:val="true"/>
        </w:rPr>
        <w:t>, "</w:t>
      </w:r>
      <w:r>
        <w:rPr>
          <w:rFonts w:ascii="Arial" w:hAnsi="Arial" w:cs="Arial"/>
          <w:rtl w:val="true"/>
        </w:rPr>
        <w:t>חיבור לחברה שולית וקושי בקבלת גבולות החוק</w:t>
      </w:r>
      <w:r>
        <w:rPr>
          <w:rFonts w:cs="Arial" w:ascii="Arial" w:hAnsi="Arial"/>
          <w:rtl w:val="true"/>
        </w:rPr>
        <w:t xml:space="preserve">"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ואידך זיל גמור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יוער במאמר מוסגר כי גזר הדין אלי הפנו הסנגורים ניתן במסגרת הליך שהתנהל בדלתיים סגורות משום שכלל נאשמים קטינים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והנסיבות בהן הגיע המסמך החסוי לידי הסנגורים לא הובררו</w:t>
      </w:r>
      <w:r>
        <w:rPr>
          <w:rFonts w:cs="Arial" w:ascii="Arial" w:hAnsi="Arial"/>
          <w:rtl w:val="true"/>
        </w:rPr>
        <w:t xml:space="preserve">]. 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uppressLineNumbers/>
        <w:spacing w:lineRule="auto" w:line="360"/>
        <w:ind w:hanging="0" w:start="0" w:end="0"/>
        <w:jc w:val="both"/>
        <w:rPr>
          <w:b/>
          <w:bCs/>
          <w:lang w:val="en-IL" w:eastAsia="en-IL"/>
        </w:rPr>
      </w:pPr>
      <w:r>
        <w:rPr>
          <w:rFonts w:cs="Times New Roman"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נסיבות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שאינן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קשורות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בביצוע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העבירה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0" w:start="0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>בגזירת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בגדרי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ההולם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לשקול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הנסיבות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שאינן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קשורות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בביצוע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סעיף</w:t>
      </w:r>
      <w:r>
        <w:rPr>
          <w:rFonts w:cs="Times New Roman"/>
          <w:rtl w:val="true"/>
          <w:lang w:val="en-IL" w:eastAsia="en-IL"/>
        </w:rPr>
        <w:t xml:space="preserve"> </w:t>
      </w:r>
      <w:hyperlink r:id="rId75">
        <w:r>
          <w:rPr>
            <w:rStyle w:val="Hyperlink"/>
            <w:lang w:val="en-IL" w:eastAsia="en-IL"/>
          </w:rPr>
          <w:t>40</w:t>
        </w:r>
        <w:r>
          <w:rPr>
            <w:rStyle w:val="Hyperlink"/>
            <w:rtl w:val="true"/>
            <w:lang w:val="en-IL" w:eastAsia="en-IL"/>
          </w:rPr>
          <w:t xml:space="preserve"> </w:t>
        </w:r>
        <w:r>
          <w:rPr>
            <w:rStyle w:val="Hyperlink"/>
            <w:rtl w:val="true"/>
            <w:lang w:val="en-IL" w:eastAsia="en-IL"/>
          </w:rPr>
          <w:t>יא</w:t>
        </w:r>
        <w:r>
          <w:rPr>
            <w:rStyle w:val="Hyperlink"/>
            <w:rtl w:val="true"/>
            <w:lang w:val="en-IL" w:eastAsia="en-IL"/>
          </w:rPr>
          <w:t>'</w:t>
        </w:r>
      </w:hyperlink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hyperlink r:id="rId76">
        <w:r>
          <w:rPr>
            <w:rStyle w:val="Hyperlink"/>
            <w:color w:val="0000FF"/>
            <w:u w:val="single"/>
            <w:rtl w:val="true"/>
            <w:lang w:val="en-IL" w:eastAsia="en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העונשין</w:t>
        </w:r>
      </w:hyperlink>
      <w:r>
        <w:rPr>
          <w:rtl w:val="true"/>
          <w:lang w:val="en-IL" w:eastAsia="en-IL"/>
        </w:rPr>
        <w:t xml:space="preserve">). </w:t>
      </w:r>
      <w:r>
        <w:rPr>
          <w:rtl w:val="true"/>
          <w:lang w:val="en-IL" w:eastAsia="en-IL"/>
        </w:rPr>
        <w:t>במסגרת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הבאתי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במניין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השיקולים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הבאות</w:t>
      </w:r>
      <w:r>
        <w:rPr>
          <w:rtl w:val="true"/>
          <w:lang w:val="en-IL" w:eastAsia="en-IL"/>
        </w:rPr>
        <w:t>: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 xml:space="preserve">(-)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צעיר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יליד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2002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רווק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ולחובתו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הרשעות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קודמות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מובן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שיוטל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עלולה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השלכה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עליו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אם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השפעת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חזות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הבכורה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ליתר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שיקולי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tl w:val="true"/>
          <w:lang w:val="en-IL" w:eastAsia="en-IL"/>
        </w:rPr>
        <w:t>.</w:t>
      </w:r>
    </w:p>
    <w:p>
      <w:pPr>
        <w:pStyle w:val="ListParagraph"/>
        <w:ind w:end="0"/>
        <w:jc w:val="start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 xml:space="preserve">(-) </w:t>
      </w:r>
      <w:r>
        <w:rPr>
          <w:rtl w:val="true"/>
          <w:lang w:val="en-IL" w:eastAsia="en-IL"/>
        </w:rPr>
        <w:t>בתיק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המצורף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בעובדות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מתוקן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משקל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מקל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כאמור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הנוכחי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ניהול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הוכחות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נסיבה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מחמירה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זכאי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להקלה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זוכה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שמודה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וגם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מזאת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להתעלם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שיוחסו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ההרשעה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הייתה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יסוד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מצע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עובדתי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שתואר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tl w:val="true"/>
          <w:lang w:val="en-IL" w:eastAsia="en-IL"/>
        </w:rPr>
        <w:t>.</w:t>
      </w:r>
    </w:p>
    <w:p>
      <w:pPr>
        <w:pStyle w:val="ListParagraph"/>
        <w:ind w:end="0"/>
        <w:jc w:val="start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 xml:space="preserve">(-) </w:t>
      </w:r>
      <w:r>
        <w:rPr>
          <w:rtl w:val="true"/>
          <w:lang w:val="en-IL" w:eastAsia="en-IL"/>
        </w:rPr>
        <w:t>מתסקירי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המבחן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תמונה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מדאיגה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עולה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נוטל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פורמאלית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בלבד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מפנים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החומרה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מצליח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להתבונן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במשמעות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התנהלותו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חמור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מכך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מסתמן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פיתח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דפוסי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התהנהגות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עבריינית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זיקה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לנשק</w:t>
      </w:r>
      <w:r>
        <w:rPr>
          <w:rtl w:val="true"/>
          <w:lang w:val="en-IL" w:eastAsia="en-IL"/>
        </w:rPr>
        <w:t>.</w:t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 xml:space="preserve">(-) </w:t>
      </w:r>
      <w:r>
        <w:rPr>
          <w:rtl w:val="true"/>
          <w:lang w:val="en-IL" w:eastAsia="en-IL"/>
        </w:rPr>
        <w:t>כעולה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מטיעוני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הסנגור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וכעולה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מהתסקירים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סובל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ממצב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רפואי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מפציעתו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באירוע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יריי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שהתרחש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בשנת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2021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לפני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האירועים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מושא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ההליכים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שלפניי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להתחשב</w:t>
      </w:r>
      <w:r>
        <w:rPr>
          <w:rtl w:val="true"/>
          <w:lang w:val="en-IL" w:eastAsia="en-IL"/>
        </w:rPr>
        <w:t>.</w:t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  <w:t xml:space="preserve">(-) </w:t>
      </w:r>
      <w:r>
        <w:rPr>
          <w:rtl w:val="true"/>
          <w:lang w:val="en-IL" w:eastAsia="en-IL"/>
        </w:rPr>
        <w:t>כמו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לתקופות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נתון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במעצר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בתנאים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מגבילים</w:t>
      </w:r>
      <w:r>
        <w:rPr>
          <w:rtl w:val="true"/>
          <w:lang w:val="en-IL" w:eastAsia="en-IL"/>
        </w:rPr>
        <w:t>.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rFonts w:ascii="Arial" w:hAnsi="Arial" w:eastAsia="David" w:cs="Arial"/>
          <w:lang w:val="en-IL" w:eastAsia="en-IL"/>
        </w:rPr>
      </w:pPr>
      <w:r>
        <w:rPr>
          <w:rFonts w:eastAsia="David" w:cs="Arial" w:ascii="Arial" w:hAnsi="Arial"/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rFonts w:ascii="Arial" w:hAnsi="Arial" w:eastAsia="David" w:cs="Arial"/>
          <w:b/>
          <w:bCs/>
          <w:lang w:val="en-IL" w:eastAsia="en-IL"/>
        </w:rPr>
      </w:pP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הגנה מן הצדק</w:t>
      </w:r>
      <w:r>
        <w:rPr>
          <w:rFonts w:eastAsia="David" w:cs="Arial" w:ascii="Arial" w:hAnsi="Arial"/>
          <w:b/>
          <w:bCs/>
          <w:rtl w:val="true"/>
          <w:lang w:val="en-IL" w:eastAsia="en-IL"/>
        </w:rPr>
        <w:t>?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rFonts w:ascii="Arial" w:hAnsi="Arial" w:eastAsia="David" w:cs="Arial"/>
          <w:b/>
          <w:bCs/>
          <w:lang w:val="en-IL" w:eastAsia="en-IL"/>
        </w:rPr>
      </w:pPr>
      <w:r>
        <w:rPr>
          <w:rFonts w:eastAsia="David" w:cs="Arial" w:ascii="Arial" w:hAnsi="Arial"/>
          <w:b/>
          <w:bCs/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0" w:start="0" w:end="0"/>
        <w:contextualSpacing/>
        <w:jc w:val="both"/>
        <w:rPr>
          <w:rFonts w:ascii="Arial" w:hAnsi="Arial" w:eastAsia="David" w:cs="Arial"/>
          <w:lang w:val="en-IL" w:eastAsia="en-IL"/>
        </w:rPr>
      </w:pPr>
      <w:r>
        <w:rPr>
          <w:rFonts w:ascii="Arial" w:hAnsi="Arial" w:eastAsia="David" w:cs="Arial"/>
          <w:rtl w:val="true"/>
          <w:lang w:val="en-IL" w:eastAsia="en-IL"/>
        </w:rPr>
        <w:t>הנני דוחה מכל וכל את טענת הסנגורים לפיה יש להקל בעונשו של הנאשם בשל הגנה מן הצדק שקמה לטענתם נוכח קיומה של אכיפה בררנית</w:t>
      </w:r>
      <w:r>
        <w:rPr>
          <w:rFonts w:eastAsia="David" w:cs="Arial" w:ascii="Arial" w:hAnsi="Arial"/>
          <w:rtl w:val="true"/>
          <w:lang w:val="en-IL" w:eastAsia="en-IL"/>
        </w:rPr>
        <w:t xml:space="preserve">. 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rFonts w:ascii="Arial" w:hAnsi="Arial" w:eastAsia="David" w:cs="Arial"/>
          <w:lang w:val="en-IL" w:eastAsia="en-IL"/>
        </w:rPr>
      </w:pPr>
      <w:r>
        <w:rPr>
          <w:rFonts w:eastAsia="David" w:cs="Arial" w:ascii="Arial" w:hAnsi="Arial"/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rFonts w:ascii="Arial" w:hAnsi="Arial" w:eastAsia="David" w:cs="Arial"/>
          <w:lang w:val="en-IL" w:eastAsia="en-IL"/>
        </w:rPr>
      </w:pPr>
      <w:r>
        <w:rPr>
          <w:rFonts w:ascii="Arial" w:hAnsi="Arial" w:eastAsia="David" w:cs="Arial"/>
          <w:rtl w:val="true"/>
          <w:lang w:val="en-IL" w:eastAsia="en-IL"/>
        </w:rPr>
        <w:t xml:space="preserve">אשר לתיק המצורף </w:t>
      </w:r>
      <w:r>
        <w:rPr>
          <w:rFonts w:ascii="Arial" w:hAnsi="Arial" w:eastAsia="David" w:cs="Arial"/>
          <w:rtl w:val="true"/>
          <w:lang w:val="en-IL" w:eastAsia="en-IL"/>
        </w:rPr>
        <w:t>–</w:t>
      </w:r>
      <w:r>
        <w:rPr>
          <w:rFonts w:ascii="Arial" w:hAnsi="Arial" w:eastAsia="David" w:cs="Arial"/>
          <w:rtl w:val="true"/>
          <w:lang w:val="en-IL" w:eastAsia="en-IL"/>
        </w:rPr>
        <w:t xml:space="preserve"> טענת הסנגור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לפיה לא הוגשו כתבי אישום נגד שניים שהיו ברכב בו נסע הנאשם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גם אם היא נכונה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לא סוללת את הדרך למסקנה כי ההחלטה שלא להגיש כתבי אישום נגד האחרים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היא בגדר הפליה פסולה</w:t>
      </w:r>
      <w:r>
        <w:rPr>
          <w:rFonts w:eastAsia="David"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eastAsia="David" w:cs="Arial"/>
          <w:rtl w:val="true"/>
          <w:lang w:val="en-IL" w:eastAsia="en-IL"/>
        </w:rPr>
        <w:t>על מנת לדון בטענה לאכיפה בררנית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יש להניח תשתית ראייתית לשאלה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מה עמד בבסיס ההחלטה שלא להגיש כתבי אישום נגד האחרים</w:t>
      </w:r>
      <w:r>
        <w:rPr>
          <w:rFonts w:eastAsia="David" w:cs="Arial" w:ascii="Arial" w:hAnsi="Arial"/>
          <w:rtl w:val="true"/>
          <w:lang w:val="en-IL" w:eastAsia="en-IL"/>
        </w:rPr>
        <w:t xml:space="preserve">? </w:t>
      </w:r>
      <w:r>
        <w:rPr>
          <w:rFonts w:ascii="Arial" w:hAnsi="Arial" w:eastAsia="David" w:cs="Arial"/>
          <w:rtl w:val="true"/>
          <w:lang w:val="en-IL" w:eastAsia="en-IL"/>
        </w:rPr>
        <w:t>הסנגורים לא הניחו ולו בדל ראיה כדי לבסס את טענתם בעניין זה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זאת שלא לדבר על כך שהטענה נשמעה בבית המשפט רק בשלב הטיעונים לעונש</w:t>
      </w:r>
      <w:r>
        <w:rPr>
          <w:rFonts w:eastAsia="David"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eastAsia="David" w:cs="Arial"/>
          <w:rtl w:val="true"/>
          <w:lang w:val="en-IL" w:eastAsia="en-IL"/>
        </w:rPr>
        <w:t>יתרה מכך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הסנגורים טענו כי התיקון בכתב האישום היה תולדה של טענתם להגנה מן הצדק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 xml:space="preserve">ואם כך מצב הדברים </w:t>
      </w:r>
      <w:r>
        <w:rPr>
          <w:rFonts w:ascii="Arial" w:hAnsi="Arial" w:eastAsia="David" w:cs="Arial"/>
          <w:rtl w:val="true"/>
          <w:lang w:val="en-IL" w:eastAsia="en-IL"/>
        </w:rPr>
        <w:t>–</w:t>
      </w:r>
      <w:r>
        <w:rPr>
          <w:rFonts w:ascii="Arial" w:hAnsi="Arial" w:eastAsia="David" w:cs="Arial"/>
          <w:rtl w:val="true"/>
          <w:lang w:val="en-IL" w:eastAsia="en-IL"/>
        </w:rPr>
        <w:t xml:space="preserve"> אין סיבה להקלה נוספת בעניינם</w:t>
      </w:r>
      <w:r>
        <w:rPr>
          <w:rFonts w:eastAsia="David" w:cs="Arial" w:ascii="Arial" w:hAnsi="Arial"/>
          <w:rtl w:val="true"/>
          <w:lang w:val="en-IL" w:eastAsia="en-IL"/>
        </w:rPr>
        <w:t>.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rFonts w:ascii="Arial" w:hAnsi="Arial" w:eastAsia="David" w:cs="Arial"/>
          <w:lang w:val="en-IL" w:eastAsia="en-IL"/>
        </w:rPr>
      </w:pPr>
      <w:r>
        <w:rPr>
          <w:rFonts w:eastAsia="David" w:cs="Arial" w:ascii="Arial" w:hAnsi="Arial"/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rFonts w:ascii="Arial" w:hAnsi="Arial" w:eastAsia="David" w:cs="Arial"/>
          <w:lang w:val="en-IL" w:eastAsia="en-IL"/>
        </w:rPr>
      </w:pPr>
      <w:r>
        <w:rPr>
          <w:rFonts w:ascii="Arial" w:hAnsi="Arial" w:eastAsia="David" w:cs="Arial"/>
          <w:rtl w:val="true"/>
          <w:lang w:val="en-IL" w:eastAsia="en-IL"/>
        </w:rPr>
        <w:t>באשר לתיק הנוכחי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נזכיר כי לטענת הנאשם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בהינתן הקביעה בהכרעת הדין בדבר קבלת התרחיש החלופי ממנו עולה כי הנשק היה באמתחת הנהג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הרי  אי הגשת כתב אישום נגד הנהג מהווה אכיפה בררנית</w:t>
      </w:r>
      <w:r>
        <w:rPr>
          <w:rFonts w:eastAsia="David"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eastAsia="David" w:cs="Arial"/>
          <w:rtl w:val="true"/>
          <w:lang w:val="en-IL" w:eastAsia="en-IL"/>
        </w:rPr>
        <w:t>טענה זו דינה להידחות</w:t>
      </w:r>
      <w:r>
        <w:rPr>
          <w:rFonts w:eastAsia="David"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eastAsia="David" w:cs="Arial"/>
          <w:rtl w:val="true"/>
          <w:lang w:val="en-IL" w:eastAsia="en-IL"/>
        </w:rPr>
        <w:t>לטענה זו של הנאשם התייחסתי בהכרעת הדין וקביעותיי שם נכונות גם לשלב זה</w:t>
      </w:r>
      <w:r>
        <w:rPr>
          <w:rFonts w:eastAsia="David"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eastAsia="David" w:cs="Arial"/>
          <w:rtl w:val="true"/>
          <w:lang w:val="en-IL" w:eastAsia="en-IL"/>
        </w:rPr>
        <w:t>כך ציינתי בהכרעת הדין</w:t>
      </w:r>
      <w:r>
        <w:rPr>
          <w:rFonts w:eastAsia="David" w:cs="Arial" w:ascii="Arial" w:hAnsi="Arial"/>
          <w:rtl w:val="true"/>
          <w:lang w:val="en-IL" w:eastAsia="en-IL"/>
        </w:rPr>
        <w:t>:</w:t>
      </w:r>
    </w:p>
    <w:p>
      <w:pPr>
        <w:pStyle w:val="ListParagraph"/>
        <w:ind w:end="0"/>
        <w:jc w:val="start"/>
        <w:rPr>
          <w:rFonts w:ascii="Arial" w:hAnsi="Arial" w:eastAsia="David" w:cs="Arial"/>
          <w:lang w:val="en-IL" w:eastAsia="en-IL"/>
        </w:rPr>
      </w:pPr>
      <w:r>
        <w:rPr>
          <w:rFonts w:eastAsia="David" w:cs="Arial" w:ascii="Arial" w:hAnsi="Arial"/>
          <w:rtl w:val="true"/>
          <w:lang w:val="en-IL" w:eastAsia="en-IL"/>
        </w:rPr>
      </w:r>
    </w:p>
    <w:p>
      <w:pPr>
        <w:pStyle w:val="Normal"/>
        <w:suppressLineNumbers/>
        <w:spacing w:before="0" w:after="0"/>
        <w:ind w:start="1134" w:end="1134"/>
        <w:contextualSpacing/>
        <w:jc w:val="both"/>
        <w:rPr>
          <w:rFonts w:ascii="Arial" w:hAnsi="Arial" w:eastAsia="David" w:cs="Arial"/>
          <w:b/>
          <w:bCs/>
          <w:lang w:val="en-IL" w:eastAsia="en-IL"/>
        </w:rPr>
      </w:pPr>
      <w:r>
        <w:rPr>
          <w:rFonts w:eastAsia="David" w:cs="Arial" w:ascii="Arial" w:hAnsi="Arial"/>
          <w:rtl w:val="true"/>
          <w:lang w:val="en-IL" w:eastAsia="en-IL"/>
        </w:rPr>
        <w:t>"</w:t>
      </w:r>
      <w:r>
        <w:rPr>
          <w:rFonts w:eastAsia="David" w:cs="Arial" w:ascii="Arial" w:hAnsi="Arial"/>
          <w:b/>
          <w:bCs/>
          <w:rtl w:val="true"/>
          <w:lang w:val="en-IL" w:eastAsia="en-IL"/>
        </w:rPr>
        <w:t>...</w:t>
      </w:r>
      <w:r>
        <w:rPr>
          <w:rFonts w:eastAsia="David" w:cs="Arial" w:ascii="Arial" w:hAnsi="Arial"/>
          <w:b/>
          <w:bCs/>
          <w:rtl w:val="true"/>
          <w:lang w:val="en-IL" w:eastAsia="en-IL"/>
        </w:rPr>
        <w:t xml:space="preserve">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קביעתו של בית המשפט כי קיים תרחיש חלופי אפשרי לפיו האקדח לא היה על גופו של הנאשם אלא על גופו של מנסור</w:t>
      </w:r>
      <w:r>
        <w:rPr>
          <w:rFonts w:eastAsia="David" w:cs="Arial" w:ascii="Arial" w:hAnsi="Arial"/>
          <w:b/>
          <w:bCs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לא משמיעה את המסקנה כי הנשק אכן היה על גופו של מנסור</w:t>
      </w:r>
      <w:r>
        <w:rPr>
          <w:rFonts w:eastAsia="David" w:cs="Arial" w:ascii="Arial" w:hAnsi="Arial"/>
          <w:b/>
          <w:bCs/>
          <w:rtl w:val="true"/>
          <w:lang w:val="en-IL" w:eastAsia="en-IL"/>
        </w:rPr>
        <w:t xml:space="preserve">.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תהום פעורה בין קיומו של תרחיש חלופי שיש בו כדי לעורר ספק לבין המסקנות ההוכחתיות הפוזיטיביות שניתן לחלץ מקביעה זו</w:t>
      </w:r>
      <w:r>
        <w:rPr>
          <w:rFonts w:eastAsia="David" w:cs="Arial" w:ascii="Arial" w:hAnsi="Arial"/>
          <w:b/>
          <w:bCs/>
          <w:rtl w:val="true"/>
          <w:lang w:val="en-IL" w:eastAsia="en-IL"/>
        </w:rPr>
        <w:t xml:space="preserve">.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קביעת קיומו של ספק סביר על בסיס תרחיש חלופי</w:t>
      </w:r>
      <w:r>
        <w:rPr>
          <w:rFonts w:eastAsia="David" w:cs="Arial" w:ascii="Arial" w:hAnsi="Arial"/>
          <w:b/>
          <w:bCs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אין משמעותה כי התרחיש החלופי הוכח</w:t>
      </w:r>
      <w:r>
        <w:rPr>
          <w:rFonts w:eastAsia="David" w:cs="Arial" w:ascii="Arial" w:hAnsi="Arial"/>
          <w:b/>
          <w:bCs/>
          <w:rtl w:val="true"/>
          <w:lang w:val="en-IL" w:eastAsia="en-IL"/>
        </w:rPr>
        <w:t xml:space="preserve">;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לא ברמת ההוכחה הנדרשת במשפט פלילי ואף לא במאזן ההסתברויות</w:t>
      </w:r>
      <w:r>
        <w:rPr>
          <w:rFonts w:eastAsia="David" w:cs="Arial" w:ascii="Arial" w:hAnsi="Arial"/>
          <w:b/>
          <w:bCs/>
          <w:rtl w:val="true"/>
          <w:lang w:val="en-IL" w:eastAsia="en-IL"/>
        </w:rPr>
        <w:t xml:space="preserve">.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התרחיש החלופי אינו אלא ביטוי לקיומו של ספק סביר ולכן הוא לא חורג מגדרו של הספק הסביר</w:t>
      </w:r>
      <w:r>
        <w:rPr>
          <w:rFonts w:eastAsia="David" w:cs="Arial" w:ascii="Arial" w:hAnsi="Arial"/>
          <w:rtl w:val="true"/>
          <w:lang w:val="en-IL" w:eastAsia="en-IL"/>
        </w:rPr>
        <w:t>".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rFonts w:ascii="Arial" w:hAnsi="Arial" w:eastAsia="David" w:cs="Arial"/>
          <w:b/>
          <w:bCs/>
          <w:lang w:val="en-IL" w:eastAsia="en-IL"/>
        </w:rPr>
      </w:pPr>
      <w:r>
        <w:rPr>
          <w:rFonts w:eastAsia="David" w:cs="Arial" w:ascii="Arial" w:hAnsi="Arial"/>
          <w:b/>
          <w:bCs/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rFonts w:ascii="Arial" w:hAnsi="Arial" w:eastAsia="David" w:cs="Arial"/>
          <w:lang w:val="en-IL" w:eastAsia="en-IL"/>
        </w:rPr>
      </w:pPr>
      <w:r>
        <w:rPr>
          <w:rFonts w:eastAsia="David" w:cs="Arial" w:ascii="Arial" w:hAnsi="Arial"/>
          <w:rtl w:val="true"/>
          <w:lang w:val="en-IL" w:eastAsia="en-IL"/>
        </w:rPr>
        <w:tab/>
      </w:r>
      <w:r>
        <w:rPr>
          <w:rFonts w:ascii="Arial" w:hAnsi="Arial" w:eastAsia="David" w:cs="Arial"/>
          <w:rtl w:val="true"/>
          <w:lang w:val="en-IL" w:eastAsia="en-IL"/>
        </w:rPr>
        <w:t xml:space="preserve">וכן הוספתי כי </w:t>
      </w:r>
      <w:r>
        <w:rPr>
          <w:rFonts w:ascii="Arial" w:hAnsi="Arial" w:eastAsia="David" w:cs="Arial"/>
          <w:rtl w:val="true"/>
          <w:lang w:val="en-IL" w:eastAsia="en-IL"/>
        </w:rPr>
        <w:t>–</w:t>
      </w:r>
      <w:r>
        <w:rPr>
          <w:rFonts w:ascii="Arial" w:hAnsi="Arial" w:eastAsia="David" w:cs="Arial"/>
          <w:rtl w:val="true"/>
          <w:lang w:val="en-IL" w:eastAsia="en-IL"/>
        </w:rPr>
        <w:t xml:space="preserve"> 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rFonts w:ascii="Arial" w:hAnsi="Arial" w:eastAsia="David" w:cs="Arial"/>
          <w:lang w:val="en-IL" w:eastAsia="en-IL"/>
        </w:rPr>
      </w:pPr>
      <w:r>
        <w:rPr>
          <w:rFonts w:eastAsia="David" w:cs="Arial" w:ascii="Arial" w:hAnsi="Arial"/>
          <w:rtl w:val="true"/>
          <w:lang w:val="en-IL" w:eastAsia="en-IL"/>
        </w:rPr>
      </w:r>
    </w:p>
    <w:p>
      <w:pPr>
        <w:pStyle w:val="Normal"/>
        <w:suppressLineNumbers/>
        <w:spacing w:before="0" w:after="0"/>
        <w:ind w:start="1134" w:end="1134"/>
        <w:contextualSpacing/>
        <w:jc w:val="both"/>
        <w:rPr>
          <w:rFonts w:ascii="Arial" w:hAnsi="Arial" w:eastAsia="David" w:cs="Arial"/>
          <w:b/>
          <w:bCs/>
          <w:lang w:val="en-IL" w:eastAsia="en-IL"/>
        </w:rPr>
      </w:pPr>
      <w:r>
        <w:rPr>
          <w:rFonts w:eastAsia="David" w:cs="Arial" w:ascii="Arial" w:hAnsi="Arial"/>
          <w:rtl w:val="true"/>
          <w:lang w:val="en-IL" w:eastAsia="en-IL"/>
        </w:rPr>
        <w:t>"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טענתו של הנאשם לאכיפה בררנית</w:t>
      </w:r>
      <w:r>
        <w:rPr>
          <w:rFonts w:eastAsia="David" w:cs="Arial" w:ascii="Arial" w:hAnsi="Arial"/>
          <w:b/>
          <w:bCs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מהולה בניצול לרעה של הטענה</w:t>
      </w:r>
      <w:r>
        <w:rPr>
          <w:rFonts w:eastAsia="David" w:cs="Arial" w:ascii="Arial" w:hAnsi="Arial"/>
          <w:b/>
          <w:bCs/>
          <w:rtl w:val="true"/>
          <w:lang w:val="en-IL" w:eastAsia="en-IL"/>
        </w:rPr>
        <w:t xml:space="preserve">.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האפשרות היחידה שהייתה בפני המשטרה לחלץ ראיות לגבי השאלה מי נשא והוביל את האקדח – הייתה הנאשם או מנסור</w:t>
      </w:r>
      <w:r>
        <w:rPr>
          <w:rFonts w:eastAsia="David" w:cs="Arial" w:ascii="Arial" w:hAnsi="Arial"/>
          <w:b/>
          <w:bCs/>
          <w:rtl w:val="true"/>
          <w:lang w:val="en-IL" w:eastAsia="en-IL"/>
        </w:rPr>
        <w:t xml:space="preserve">.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הנאשם שתק לכל אורך חקירתו במשטרה ולא טען כי מנסור הוא שהחזיק את האקדח על גופו</w:t>
      </w:r>
      <w:r>
        <w:rPr>
          <w:rFonts w:eastAsia="David" w:cs="Arial" w:ascii="Arial" w:hAnsi="Arial"/>
          <w:b/>
          <w:bCs/>
          <w:rtl w:val="true"/>
          <w:lang w:val="en-IL" w:eastAsia="en-IL"/>
        </w:rPr>
        <w:t xml:space="preserve">.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 xml:space="preserve">הנאשם גם לא העיד בפרשת ההגנה ואף בסיכומיו הסתפק בטענה כללית לפיה יש תרחיש חפות אפשרי – כי </w:t>
      </w:r>
      <w:r>
        <w:rPr>
          <w:rFonts w:eastAsia="David" w:cs="Arial" w:ascii="Arial" w:hAnsi="Arial"/>
          <w:b/>
          <w:bCs/>
          <w:rtl w:val="true"/>
          <w:lang w:val="en-IL" w:eastAsia="en-IL"/>
        </w:rPr>
        <w:t>'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אחר</w:t>
      </w:r>
      <w:r>
        <w:rPr>
          <w:rFonts w:eastAsia="David" w:cs="Arial" w:ascii="Arial" w:hAnsi="Arial"/>
          <w:b/>
          <w:bCs/>
          <w:rtl w:val="true"/>
          <w:lang w:val="en-IL" w:eastAsia="en-IL"/>
        </w:rPr>
        <w:t>'</w:t>
      </w:r>
      <w:r>
        <w:rPr>
          <w:rFonts w:eastAsia="David" w:cs="Arial" w:ascii="Arial" w:hAnsi="Arial"/>
          <w:b/>
          <w:bCs/>
          <w:rtl w:val="true"/>
          <w:lang w:val="en-IL" w:eastAsia="en-IL"/>
        </w:rPr>
        <w:t xml:space="preserve">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ביצע את העבירה</w:t>
      </w:r>
      <w:r>
        <w:rPr>
          <w:rFonts w:eastAsia="David" w:cs="Arial" w:ascii="Arial" w:hAnsi="Arial"/>
          <w:b/>
          <w:bCs/>
          <w:rtl w:val="true"/>
          <w:lang w:val="en-IL" w:eastAsia="en-IL"/>
        </w:rPr>
        <w:t xml:space="preserve">.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להתנהלות זו של הנאשם יש ביטוי במישור הראייתי</w:t>
      </w:r>
      <w:r>
        <w:rPr>
          <w:rFonts w:eastAsia="David" w:cs="Arial" w:ascii="Arial" w:hAnsi="Arial"/>
          <w:b/>
          <w:bCs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ולצד זאת יש לה מחיר מהותי במישור הטענה של הגנה מן הצדק</w:t>
      </w:r>
      <w:r>
        <w:rPr>
          <w:rFonts w:eastAsia="David" w:cs="Arial" w:ascii="Arial" w:hAnsi="Arial"/>
          <w:b/>
          <w:bCs/>
          <w:rtl w:val="true"/>
          <w:lang w:val="en-IL" w:eastAsia="en-IL"/>
        </w:rPr>
        <w:t xml:space="preserve">.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הנאשם לא יכול לטעון שהמאשימה נהגה באכיפה בררנית</w:t>
      </w:r>
      <w:r>
        <w:rPr>
          <w:rFonts w:eastAsia="David" w:cs="Arial" w:ascii="Arial" w:hAnsi="Arial"/>
          <w:b/>
          <w:bCs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 xml:space="preserve">כאשר מי שהכשיל את האכיפה השוויונית </w:t>
      </w:r>
      <w:r>
        <w:rPr>
          <w:rFonts w:eastAsia="David" w:cs="Arial" w:ascii="Arial" w:hAnsi="Arial"/>
          <w:b/>
          <w:bCs/>
          <w:rtl w:val="true"/>
          <w:lang w:val="en-IL" w:eastAsia="en-IL"/>
        </w:rPr>
        <w:t>(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מנקודת ראותו</w:t>
      </w:r>
      <w:r>
        <w:rPr>
          <w:rFonts w:eastAsia="David" w:cs="Arial" w:ascii="Arial" w:hAnsi="Arial"/>
          <w:b/>
          <w:bCs/>
          <w:rtl w:val="true"/>
          <w:lang w:val="en-IL" w:eastAsia="en-IL"/>
        </w:rPr>
        <w:t xml:space="preserve">)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הוא עצמו</w:t>
      </w:r>
      <w:r>
        <w:rPr>
          <w:rFonts w:eastAsia="David" w:cs="Arial" w:ascii="Arial" w:hAnsi="Arial"/>
          <w:b/>
          <w:bCs/>
          <w:rtl w:val="true"/>
          <w:lang w:val="en-IL" w:eastAsia="en-IL"/>
        </w:rPr>
        <w:t xml:space="preserve">.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יש לזכור כי הראיות שעל בסיסן הוגש כתב האישום היו בעיקר עדויות השוטרים שראו את הנאשם משליך את האקדח ומציאת האקדח</w:t>
      </w:r>
      <w:r>
        <w:rPr>
          <w:rFonts w:eastAsia="David" w:cs="Arial" w:ascii="Arial" w:hAnsi="Arial"/>
          <w:b/>
          <w:bCs/>
          <w:rtl w:val="true"/>
          <w:lang w:val="en-IL" w:eastAsia="en-IL"/>
        </w:rPr>
        <w:t xml:space="preserve">.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העובדה כי התעורר ספק בשאלה מי נשא והוביל את האקדח</w:t>
      </w:r>
      <w:r>
        <w:rPr>
          <w:rFonts w:eastAsia="David" w:cs="Arial" w:ascii="Arial" w:hAnsi="Arial"/>
          <w:b/>
          <w:bCs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לא מלמדת כי ההחלטה להגיש את כתב האישום נגד הנאשם לקתה בשרירות או באכיפה בררנית</w:t>
      </w:r>
      <w:r>
        <w:rPr>
          <w:rFonts w:eastAsia="David" w:cs="Arial" w:ascii="Arial" w:hAnsi="Arial"/>
          <w:rtl w:val="true"/>
          <w:lang w:val="en-IL" w:eastAsia="en-IL"/>
        </w:rPr>
        <w:t>".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rFonts w:ascii="Arial" w:hAnsi="Arial" w:eastAsia="David" w:cs="Arial"/>
          <w:b/>
          <w:bCs/>
          <w:lang w:val="en-IL" w:eastAsia="en-IL"/>
        </w:rPr>
      </w:pPr>
      <w:r>
        <w:rPr>
          <w:rFonts w:eastAsia="David" w:cs="Arial" w:ascii="Arial" w:hAnsi="Arial"/>
          <w:b/>
          <w:bCs/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firstLine="567" w:end="0"/>
        <w:contextualSpacing/>
        <w:jc w:val="both"/>
        <w:rPr>
          <w:rFonts w:ascii="Arial" w:hAnsi="Arial" w:eastAsia="David" w:cs="Arial"/>
          <w:lang w:val="en-IL" w:eastAsia="en-IL"/>
        </w:rPr>
      </w:pPr>
      <w:r>
        <w:rPr>
          <w:rFonts w:ascii="Arial" w:hAnsi="Arial" w:eastAsia="David" w:cs="Arial"/>
          <w:rtl w:val="true"/>
          <w:lang w:val="en-IL" w:eastAsia="en-IL"/>
        </w:rPr>
        <w:t>בנסיבות אלו לתוצאת הכרעת הדין בהקשר לקבלת התרחיש החלופי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אין כל משקל שיכול לבוא לידי ביטוי בגזירת העונש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 xml:space="preserve">למצער </w:t>
      </w:r>
      <w:r>
        <w:rPr>
          <w:rFonts w:ascii="Arial" w:hAnsi="Arial" w:eastAsia="David" w:cs="Arial"/>
          <w:rtl w:val="true"/>
          <w:lang w:val="en-IL" w:eastAsia="en-IL"/>
        </w:rPr>
        <w:t>–</w:t>
      </w:r>
      <w:r>
        <w:rPr>
          <w:rFonts w:ascii="Arial" w:hAnsi="Arial" w:eastAsia="David" w:cs="Arial"/>
          <w:rtl w:val="true"/>
          <w:lang w:val="en-IL" w:eastAsia="en-IL"/>
        </w:rPr>
        <w:t xml:space="preserve"> המשקל שיש להביא בחשבון הוא מוגבל למדיי</w:t>
      </w:r>
      <w:r>
        <w:rPr>
          <w:rFonts w:eastAsia="David" w:cs="Arial" w:ascii="Arial" w:hAnsi="Arial"/>
          <w:rtl w:val="true"/>
          <w:lang w:val="en-IL" w:eastAsia="en-IL"/>
        </w:rPr>
        <w:t>.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rFonts w:ascii="Arial" w:hAnsi="Arial" w:eastAsia="David" w:cs="Arial"/>
          <w:lang w:val="en-IL" w:eastAsia="en-IL"/>
        </w:rPr>
      </w:pPr>
      <w:r>
        <w:rPr>
          <w:rFonts w:eastAsia="David" w:cs="Arial" w:ascii="Arial" w:hAnsi="Arial"/>
          <w:rtl w:val="true"/>
          <w:lang w:val="en-IL" w:eastAsia="en-IL"/>
        </w:rPr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rFonts w:ascii="Arial" w:hAnsi="Arial" w:eastAsia="David" w:cs="Arial"/>
          <w:b/>
          <w:bCs/>
          <w:lang w:val="en-IL" w:eastAsia="en-IL"/>
        </w:rPr>
      </w:pPr>
      <w:r>
        <w:rPr>
          <w:rFonts w:ascii="Arial" w:hAnsi="Arial" w:eastAsia="David" w:cs="Arial"/>
          <w:b/>
          <w:b/>
          <w:bCs/>
          <w:rtl w:val="true"/>
          <w:lang w:val="en-IL" w:eastAsia="en-IL"/>
        </w:rPr>
        <w:t>גזר הדין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rFonts w:ascii="Arial" w:hAnsi="Arial" w:eastAsia="David" w:cs="Arial"/>
          <w:b/>
          <w:bCs/>
          <w:lang w:val="en-IL" w:eastAsia="en-IL"/>
        </w:rPr>
      </w:pPr>
      <w:r>
        <w:rPr>
          <w:rFonts w:eastAsia="David" w:cs="Arial" w:ascii="Arial" w:hAnsi="Arial"/>
          <w:b/>
          <w:bCs/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0" w:start="0" w:end="0"/>
        <w:contextualSpacing/>
        <w:jc w:val="both"/>
        <w:rPr>
          <w:rFonts w:ascii="Arial" w:hAnsi="Arial" w:eastAsia="David" w:cs="Arial"/>
          <w:lang w:val="en-IL" w:eastAsia="en-IL"/>
        </w:rPr>
      </w:pPr>
      <w:r>
        <w:rPr>
          <w:rFonts w:ascii="Arial" w:hAnsi="Arial" w:eastAsia="David" w:cs="Arial"/>
          <w:rtl w:val="true"/>
          <w:lang w:val="en-IL" w:eastAsia="en-IL"/>
        </w:rPr>
        <w:t>הליך זה מאגד שני אירועים שלכל אחד נקבע מתחם עונש הולם</w:t>
      </w:r>
      <w:r>
        <w:rPr>
          <w:rFonts w:eastAsia="David"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eastAsia="David" w:cs="Arial"/>
          <w:rtl w:val="true"/>
          <w:lang w:val="en-IL" w:eastAsia="en-IL"/>
        </w:rPr>
        <w:t>לפנינו אפוא שתי דרכי פעולה אפשריות</w:t>
      </w:r>
      <w:r>
        <w:rPr>
          <w:rFonts w:eastAsia="David" w:cs="Arial" w:ascii="Arial" w:hAnsi="Arial"/>
          <w:rtl w:val="true"/>
          <w:lang w:val="en-IL" w:eastAsia="en-IL"/>
        </w:rPr>
        <w:t xml:space="preserve">: </w:t>
      </w:r>
      <w:r>
        <w:rPr>
          <w:rFonts w:ascii="Arial" w:hAnsi="Arial" w:eastAsia="David" w:cs="Arial"/>
          <w:rtl w:val="true"/>
          <w:lang w:val="en-IL" w:eastAsia="en-IL"/>
        </w:rPr>
        <w:t>ג</w:t>
      </w:r>
      <w:r>
        <w:rPr>
          <w:rFonts w:ascii="Arial" w:hAnsi="Arial" w:eastAsia="David" w:cs="Arial"/>
          <w:rtl w:val="true"/>
          <w:lang w:val="en-IL" w:eastAsia="en-IL"/>
        </w:rPr>
        <w:t>ז</w:t>
      </w:r>
      <w:r>
        <w:rPr>
          <w:rFonts w:ascii="Arial" w:hAnsi="Arial" w:eastAsia="David" w:cs="Arial"/>
          <w:rtl w:val="true"/>
          <w:lang w:val="en-IL" w:eastAsia="en-IL"/>
        </w:rPr>
        <w:t xml:space="preserve">ירת </w:t>
      </w:r>
      <w:r>
        <w:rPr>
          <w:rFonts w:ascii="Arial" w:hAnsi="Arial" w:eastAsia="David" w:cs="Arial"/>
          <w:rtl w:val="true"/>
          <w:lang w:val="en-IL" w:eastAsia="en-IL"/>
        </w:rPr>
        <w:t>עונש נפרד לכל אירוע או עונש כולל לכל האירועים</w:t>
      </w:r>
      <w:r>
        <w:rPr>
          <w:rFonts w:eastAsia="David"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eastAsia="David" w:cs="Arial"/>
          <w:rtl w:val="true"/>
          <w:lang w:val="en-IL" w:eastAsia="en-IL"/>
        </w:rPr>
        <w:t xml:space="preserve">ככל שייגזר עונש </w:t>
      </w:r>
      <w:r>
        <w:rPr>
          <w:rFonts w:ascii="Arial" w:hAnsi="Arial" w:eastAsia="David" w:cs="Arial"/>
          <w:rtl w:val="true"/>
          <w:lang w:val="en-IL" w:eastAsia="en-IL"/>
        </w:rPr>
        <w:t>נפרד לכל אירוע</w:t>
      </w:r>
      <w:r>
        <w:rPr>
          <w:rFonts w:ascii="Arial" w:hAnsi="Arial" w:eastAsia="David" w:cs="Arial"/>
          <w:rtl w:val="true"/>
          <w:lang w:val="en-IL" w:eastAsia="en-IL"/>
        </w:rPr>
        <w:t xml:space="preserve"> יש לקבוע את </w:t>
      </w:r>
      <w:r>
        <w:rPr>
          <w:rFonts w:ascii="Arial" w:hAnsi="Arial" w:eastAsia="David" w:cs="Arial"/>
          <w:rtl w:val="true"/>
          <w:lang w:val="en-IL" w:eastAsia="en-IL"/>
        </w:rPr>
        <w:t>מידת החפיפה בין העונשים או הצטברותם</w:t>
      </w:r>
      <w:r>
        <w:rPr>
          <w:rFonts w:ascii="Arial" w:hAnsi="Arial" w:eastAsia="David" w:cs="Arial"/>
          <w:rtl w:val="true"/>
          <w:lang w:val="en-IL" w:eastAsia="en-IL"/>
        </w:rPr>
        <w:t xml:space="preserve"> </w:t>
      </w:r>
      <w:r>
        <w:rPr>
          <w:rFonts w:eastAsia="David" w:cs="Arial" w:ascii="Arial" w:hAnsi="Arial"/>
          <w:rtl w:val="true"/>
          <w:lang w:val="en-IL" w:eastAsia="en-IL"/>
        </w:rPr>
        <w:t>(</w:t>
      </w:r>
      <w:hyperlink r:id="rId77">
        <w:r>
          <w:rPr>
            <w:rStyle w:val="Hyperlink"/>
            <w:rFonts w:ascii="Arial" w:hAnsi="Arial" w:eastAsia="David" w:cs="Arial"/>
            <w:rtl w:val="true"/>
            <w:lang w:val="en-IL" w:eastAsia="en-IL"/>
          </w:rPr>
          <w:t>סעיף</w:t>
        </w:r>
        <w:r>
          <w:rPr>
            <w:rStyle w:val="Hyperlink"/>
            <w:rFonts w:ascii="Arial" w:hAnsi="Arial" w:eastAsia="David" w:cs="Arial"/>
            <w:rtl w:val="true"/>
            <w:lang w:val="en-IL" w:eastAsia="en-IL"/>
          </w:rPr>
          <w:t xml:space="preserve"> </w:t>
        </w:r>
        <w:r>
          <w:rPr>
            <w:rStyle w:val="Hyperlink"/>
            <w:rFonts w:eastAsia="David" w:cs="Arial" w:ascii="Arial" w:hAnsi="Arial"/>
            <w:lang w:val="en-IL" w:eastAsia="en-IL"/>
          </w:rPr>
          <w:t>40</w:t>
        </w:r>
        <w:r>
          <w:rPr>
            <w:rStyle w:val="Hyperlink"/>
            <w:rFonts w:ascii="Arial" w:hAnsi="Arial" w:eastAsia="David" w:cs="Arial"/>
            <w:rtl w:val="true"/>
            <w:lang w:val="en-IL" w:eastAsia="en-IL"/>
          </w:rPr>
          <w:t>יג</w:t>
        </w:r>
        <w:r>
          <w:rPr>
            <w:rStyle w:val="Hyperlink"/>
            <w:rFonts w:eastAsia="David" w:cs="Arial" w:ascii="Arial" w:hAnsi="Arial"/>
            <w:rtl w:val="true"/>
            <w:lang w:val="en-IL" w:eastAsia="en-IL"/>
          </w:rPr>
          <w:t>(</w:t>
        </w:r>
        <w:r>
          <w:rPr>
            <w:rStyle w:val="Hyperlink"/>
            <w:rFonts w:eastAsia="David" w:cs="Arial" w:ascii="Arial" w:hAnsi="Arial"/>
            <w:lang w:val="en-IL" w:eastAsia="en-IL"/>
          </w:rPr>
          <w:t>2</w:t>
        </w:r>
        <w:r>
          <w:rPr>
            <w:rStyle w:val="Hyperlink"/>
            <w:rFonts w:eastAsia="David" w:cs="Arial" w:ascii="Arial" w:hAnsi="Arial"/>
            <w:rtl w:val="true"/>
            <w:lang w:val="en-IL" w:eastAsia="en-IL"/>
          </w:rPr>
          <w:t>)</w:t>
        </w:r>
      </w:hyperlink>
      <w:r>
        <w:rPr>
          <w:rFonts w:eastAsia="David" w:cs="Arial" w:ascii="Arial" w:hAnsi="Arial"/>
          <w:rtl w:val="true"/>
          <w:lang w:val="en-IL" w:eastAsia="en-IL"/>
        </w:rPr>
        <w:t xml:space="preserve"> </w:t>
      </w:r>
      <w:r>
        <w:rPr>
          <w:rFonts w:ascii="Arial" w:hAnsi="Arial" w:eastAsia="David" w:cs="Arial"/>
          <w:rtl w:val="true"/>
          <w:lang w:val="en-IL" w:eastAsia="en-IL"/>
        </w:rPr>
        <w:t>ל</w:t>
      </w:r>
      <w:hyperlink r:id="rId78">
        <w:r>
          <w:rPr>
            <w:rStyle w:val="Hyperlink"/>
            <w:rFonts w:ascii="Arial" w:hAnsi="Arial" w:eastAsia="David" w:cs="Arial"/>
            <w:color w:val="0000FF"/>
            <w:u w:val="single"/>
            <w:rtl w:val="true"/>
            <w:lang w:val="en-IL" w:eastAsia="en-IL"/>
          </w:rPr>
          <w:t>חוק העונשין</w:t>
        </w:r>
      </w:hyperlink>
      <w:r>
        <w:rPr>
          <w:rFonts w:eastAsia="David" w:cs="Arial" w:ascii="Arial" w:hAnsi="Arial"/>
          <w:rtl w:val="true"/>
          <w:lang w:val="en-IL" w:eastAsia="en-IL"/>
        </w:rPr>
        <w:t>)</w:t>
      </w:r>
      <w:r>
        <w:rPr>
          <w:rFonts w:eastAsia="David" w:cs="Arial" w:ascii="Arial" w:hAnsi="Arial"/>
          <w:rtl w:val="true"/>
          <w:lang w:val="en-IL" w:eastAsia="en-IL"/>
        </w:rPr>
        <w:t>.</w:t>
      </w:r>
      <w:r>
        <w:rPr>
          <w:rFonts w:eastAsia="David" w:cs="Arial" w:ascii="Arial" w:hAnsi="Arial"/>
          <w:rtl w:val="true"/>
          <w:lang w:val="en-IL" w:eastAsia="en-IL"/>
        </w:rPr>
        <w:t xml:space="preserve"> </w:t>
      </w:r>
      <w:r>
        <w:rPr>
          <w:rFonts w:ascii="Arial" w:hAnsi="Arial" w:eastAsia="David" w:cs="Arial"/>
          <w:rtl w:val="true"/>
          <w:lang w:val="en-IL" w:eastAsia="en-IL"/>
        </w:rPr>
        <w:t>בנסיבות מקרה זה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בו בהליך אחד ניתנה הכרעת דין מרשיעה לאחר שמיעת ראיות ובהליך שני הכרעת הדין הייתה בעקבות הודאה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נכון יותר לגזור עונש מאסר בפועל נפרד בכל הליך</w:t>
      </w:r>
      <w:r>
        <w:rPr>
          <w:rFonts w:eastAsia="David"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eastAsia="David" w:cs="Arial"/>
          <w:rtl w:val="true"/>
          <w:lang w:val="en-IL" w:eastAsia="en-IL"/>
        </w:rPr>
        <w:t>אשר למאסר על תנאי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בכוונתי לקבוע עונש אחד לשני ההליכים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בהינתן שבשניהם הורשע הנאשם בעבירות נשק</w:t>
      </w:r>
      <w:r>
        <w:rPr>
          <w:rFonts w:eastAsia="David"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eastAsia="David" w:cs="Arial"/>
          <w:rtl w:val="true"/>
          <w:lang w:val="en-IL" w:eastAsia="en-IL"/>
        </w:rPr>
        <w:t>אמנם בהליך המצורף לא הורשע הנאשם בעבירות של שיבוש מהלכי חקירה והפרת הוראה חוקית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אך ראוי כי גם בתיק זה יוטל עליו מאסר על תנאי בגין עבירות אלו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בשים לב להתנהלותו המתוארת בכתב האישום</w:t>
      </w:r>
      <w:r>
        <w:rPr>
          <w:rFonts w:eastAsia="David" w:cs="Arial" w:ascii="Arial" w:hAnsi="Arial"/>
          <w:rtl w:val="true"/>
          <w:lang w:val="en-IL" w:eastAsia="en-IL"/>
        </w:rPr>
        <w:t xml:space="preserve">. 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>
          <w:rFonts w:ascii="Arial" w:hAnsi="Arial" w:eastAsia="David" w:cs="Arial"/>
          <w:lang w:val="en-IL" w:eastAsia="en-IL"/>
        </w:rPr>
      </w:pPr>
      <w:r>
        <w:rPr>
          <w:rFonts w:eastAsia="David" w:cs="Arial" w:ascii="Arial" w:hAnsi="Arial"/>
          <w:rtl w:val="true"/>
          <w:lang w:val="en-IL" w:eastAsia="en-IL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0" w:start="0" w:end="0"/>
        <w:contextualSpacing/>
        <w:jc w:val="both"/>
        <w:rPr>
          <w:rFonts w:ascii="Arial" w:hAnsi="Arial" w:eastAsia="David" w:cs="Arial"/>
          <w:lang w:val="en-IL" w:eastAsia="en-IL"/>
        </w:rPr>
      </w:pPr>
      <w:r>
        <w:rPr>
          <w:rFonts w:ascii="Arial" w:hAnsi="Arial" w:eastAsia="David" w:cs="Arial"/>
          <w:rtl w:val="true"/>
          <w:lang w:val="en-IL" w:eastAsia="en-IL"/>
        </w:rPr>
        <w:t>לפיכך</w:t>
      </w:r>
      <w:r>
        <w:rPr>
          <w:rFonts w:eastAsia="David"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eastAsia="David" w:cs="Arial"/>
          <w:rtl w:val="true"/>
          <w:lang w:val="en-IL" w:eastAsia="en-IL"/>
        </w:rPr>
        <w:t>אני גוזר על הנאשם את העונשים הבאים</w:t>
      </w:r>
      <w:r>
        <w:rPr>
          <w:rFonts w:eastAsia="David" w:cs="Arial" w:ascii="Arial" w:hAnsi="Arial"/>
          <w:rtl w:val="true"/>
          <w:lang w:val="en-IL" w:eastAsia="en-IL"/>
        </w:rPr>
        <w:t xml:space="preserve">: </w:t>
      </w:r>
    </w:p>
    <w:p>
      <w:pPr>
        <w:pStyle w:val="ListParagraph"/>
        <w:tabs>
          <w:tab w:val="clear" w:pos="720"/>
          <w:tab w:val="left" w:pos="1134" w:leader="none"/>
        </w:tabs>
        <w:spacing w:lineRule="auto" w:line="360"/>
        <w:ind w:start="567" w:end="0"/>
        <w:jc w:val="start"/>
        <w:rPr>
          <w:rFonts w:ascii="Arial" w:hAnsi="Arial" w:eastAsia="David" w:cs="Arial"/>
          <w:lang w:val="en-IL" w:eastAsia="en-IL"/>
        </w:rPr>
      </w:pPr>
      <w:r>
        <w:rPr>
          <w:rFonts w:eastAsia="David" w:cs="Arial" w:ascii="Arial" w:hAnsi="Arial"/>
          <w:rtl w:val="true"/>
          <w:lang w:val="en-IL" w:eastAsia="en-IL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34" w:leader="none"/>
        </w:tabs>
        <w:spacing w:lineRule="auto" w:line="360"/>
        <w:ind w:hanging="0" w:start="567" w:end="0"/>
        <w:jc w:val="both"/>
        <w:rPr>
          <w:b/>
          <w:bCs/>
          <w:lang w:val="en-IL" w:eastAsia="en-IL"/>
        </w:rPr>
      </w:pPr>
      <w:r>
        <w:rPr>
          <w:rtl w:val="true"/>
          <w:lang w:val="en-IL" w:eastAsia="en-IL"/>
        </w:rPr>
        <w:t>ב</w:t>
      </w:r>
      <w:hyperlink r:id="rId79">
        <w:r>
          <w:rPr>
            <w:rStyle w:val="Hyperlink"/>
            <w:b/>
            <w:b/>
            <w:bCs/>
            <w:color w:val="0000FF"/>
            <w:u w:val="single"/>
            <w:rtl w:val="true"/>
            <w:lang w:val="en-IL" w:eastAsia="en-IL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lang w:val="en-IL" w:eastAsia="en-IL"/>
          </w:rPr>
          <w:t>41952-02-22</w:t>
        </w:r>
      </w:hyperlink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–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לתקופה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חודשים</w:t>
      </w:r>
      <w:r>
        <w:rPr>
          <w:rtl w:val="true"/>
          <w:lang w:val="en-IL" w:eastAsia="en-IL"/>
        </w:rPr>
        <w:t xml:space="preserve">; </w:t>
      </w:r>
      <w:r>
        <w:rPr>
          <w:rtl w:val="true"/>
          <w:lang w:val="en-IL" w:eastAsia="en-IL"/>
        </w:rPr>
        <w:t>ו</w:t>
      </w:r>
      <w:r>
        <w:rPr>
          <w:b/>
          <w:b/>
          <w:bCs/>
          <w:rtl w:val="true"/>
          <w:lang w:val="en-IL" w:eastAsia="en-IL"/>
        </w:rPr>
        <w:t>ב</w:t>
      </w:r>
      <w:hyperlink r:id="rId80">
        <w:r>
          <w:rPr>
            <w:rStyle w:val="Hyperlink"/>
            <w:b/>
            <w:b/>
            <w:bCs/>
            <w:color w:val="0000FF"/>
            <w:u w:val="single"/>
            <w:rtl w:val="true"/>
            <w:lang w:val="en-IL" w:eastAsia="en-IL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lang w:val="en-IL" w:eastAsia="en-IL"/>
          </w:rPr>
          <w:t>55949-02-22</w:t>
        </w:r>
      </w:hyperlink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לתקופה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18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לגבי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היחס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תקופות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המאסר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נוכח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הנתונים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שפורטו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בהכרעת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ובפרט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העובדה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הרשעתו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הראשונה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קובע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יהיו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מצטברים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באופן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חלקי</w:t>
      </w:r>
      <w:r>
        <w:rPr>
          <w:rtl w:val="true"/>
          <w:lang w:val="en-IL" w:eastAsia="en-IL"/>
        </w:rPr>
        <w:t xml:space="preserve">. </w:t>
      </w:r>
    </w:p>
    <w:p>
      <w:pPr>
        <w:pStyle w:val="ListParagraph"/>
        <w:tabs>
          <w:tab w:val="clear" w:pos="720"/>
          <w:tab w:val="left" w:pos="1134" w:leader="none"/>
        </w:tabs>
        <w:spacing w:lineRule="auto" w:line="360"/>
        <w:ind w:start="567" w:end="0"/>
        <w:jc w:val="both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ListParagraph"/>
        <w:tabs>
          <w:tab w:val="clear" w:pos="720"/>
          <w:tab w:val="left" w:pos="1134" w:leader="none"/>
        </w:tabs>
        <w:spacing w:lineRule="auto" w:line="360"/>
        <w:ind w:start="567" w:end="0"/>
        <w:jc w:val="both"/>
        <w:rPr>
          <w:b/>
          <w:bCs/>
          <w:lang w:val="en-IL" w:eastAsia="en-IL"/>
        </w:rPr>
      </w:pPr>
      <w:r>
        <w:rPr>
          <w:rtl w:val="true"/>
          <w:lang w:val="en-IL" w:eastAsia="en-IL"/>
        </w:rPr>
        <w:tab/>
      </w:r>
      <w:r>
        <w:rPr>
          <w:rtl w:val="true"/>
          <w:lang w:val="en-IL" w:eastAsia="en-IL"/>
        </w:rPr>
        <w:t>בהתאם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לכך</w:t>
      </w:r>
      <w:r>
        <w:rPr>
          <w:rtl w:val="true"/>
          <w:lang w:val="en-IL" w:eastAsia="en-IL"/>
        </w:rPr>
        <w:t xml:space="preserve">, </w:t>
      </w:r>
      <w:r>
        <w:rPr>
          <w:b/>
          <w:b/>
          <w:bCs/>
          <w:u w:val="single"/>
          <w:rtl w:val="true"/>
          <w:lang w:val="en-IL" w:eastAsia="en-IL"/>
        </w:rPr>
        <w:t>אני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גוזר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הנאשם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מאסר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בפועל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לתקופה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Cs/>
          <w:u w:val="single"/>
          <w:lang w:val="en-IL" w:eastAsia="en-IL"/>
        </w:rPr>
        <w:t>40</w:t>
      </w:r>
      <w:r>
        <w:rPr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חודשים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בניכוי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ימי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מעצרו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מיום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Cs/>
          <w:u w:val="single"/>
          <w:lang w:val="en-IL" w:eastAsia="en-IL"/>
        </w:rPr>
        <w:t>7.2.2022</w:t>
      </w:r>
      <w:r>
        <w:rPr>
          <w:b/>
          <w:bCs/>
          <w:u w:val="single"/>
          <w:rtl w:val="true"/>
          <w:lang w:val="en-IL" w:eastAsia="en-IL"/>
        </w:rPr>
        <w:t xml:space="preserve"> .</w:t>
      </w:r>
    </w:p>
    <w:p>
      <w:pPr>
        <w:pStyle w:val="ListParagraph"/>
        <w:tabs>
          <w:tab w:val="clear" w:pos="720"/>
          <w:tab w:val="left" w:pos="1134" w:leader="none"/>
        </w:tabs>
        <w:spacing w:lineRule="auto" w:line="360"/>
        <w:ind w:start="567" w:end="0"/>
        <w:jc w:val="both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34" w:leader="none"/>
        </w:tabs>
        <w:spacing w:lineRule="auto" w:line="360"/>
        <w:ind w:hanging="0" w:start="567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תנאי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למשך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lang w:val="en-IL" w:eastAsia="en-IL"/>
        </w:rPr>
        <w:t>8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והתנאי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יעבור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שלוש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tl w:val="true"/>
          <w:lang w:val="en-IL" w:eastAsia="en-IL"/>
        </w:rPr>
        <w:t xml:space="preserve">; </w:t>
      </w:r>
      <w:r>
        <w:rPr>
          <w:rtl w:val="true"/>
          <w:lang w:val="en-IL" w:eastAsia="en-IL"/>
        </w:rPr>
        <w:t>ואולם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מסוג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יישא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10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בלבד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מתוכם</w:t>
      </w:r>
      <w:r>
        <w:rPr>
          <w:rtl w:val="true"/>
          <w:lang w:val="en-IL" w:eastAsia="en-IL"/>
        </w:rPr>
        <w:t xml:space="preserve">. </w:t>
      </w:r>
    </w:p>
    <w:p>
      <w:pPr>
        <w:pStyle w:val="ListParagraph"/>
        <w:tabs>
          <w:tab w:val="clear" w:pos="720"/>
          <w:tab w:val="left" w:pos="1134" w:leader="none"/>
        </w:tabs>
        <w:spacing w:lineRule="auto" w:line="360"/>
        <w:ind w:start="567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34" w:leader="none"/>
        </w:tabs>
        <w:spacing w:lineRule="auto" w:line="360"/>
        <w:ind w:hanging="0" w:start="567" w:end="0"/>
        <w:jc w:val="both"/>
        <w:rPr/>
      </w:pP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תנאי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למשך</w:t>
      </w:r>
      <w:r>
        <w:rPr>
          <w:rFonts w:cs="Times New Roman"/>
          <w:rtl w:val="true"/>
          <w:lang w:val="en-IL" w:eastAsia="en-IL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ListParagraph"/>
        <w:ind w:end="0"/>
        <w:jc w:val="start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start"/>
        <w:rPr>
          <w:b/>
          <w:bCs/>
          <w:lang w:val="en-IL" w:eastAsia="en-IL"/>
        </w:rPr>
      </w:pPr>
      <w:r>
        <w:rPr>
          <w:b/>
          <w:b/>
          <w:bCs/>
          <w:rtl w:val="true"/>
          <w:lang w:val="en-IL" w:eastAsia="en-IL"/>
        </w:rPr>
        <w:t>זכות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ערעור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לבית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המשפט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העליון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תוך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Cs/>
          <w:lang w:val="en-IL" w:eastAsia="en-IL"/>
        </w:rPr>
        <w:t>45</w:t>
      </w:r>
      <w:r>
        <w:rPr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ימים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מהיום</w:t>
      </w:r>
      <w:r>
        <w:rPr>
          <w:b/>
          <w:bCs/>
          <w:rtl w:val="true"/>
          <w:lang w:val="en-IL" w:eastAsia="en-IL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  <w:lang w:val="en-IL" w:eastAsia="en-IL"/>
        </w:rPr>
      </w:pPr>
      <w:r>
        <w:rPr>
          <w:color w:val="FFFFFF"/>
          <w:sz w:val="2"/>
          <w:szCs w:val="2"/>
          <w:lang w:val="en-IL" w:eastAsia="en-IL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 שבט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16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פברואר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הנאשם וב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מוחמד עלי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82"/>
      <w:footerReference w:type="default" r:id="rId8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41952-02-22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עיסאם אמארה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567"/>
        </w:tabs>
        <w:ind w:start="0" w:hanging="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32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40i.a" TargetMode="External"/><Relationship Id="rId8" Type="http://schemas.openxmlformats.org/officeDocument/2006/relationships/hyperlink" Target="http://www.nevo.co.il/law/70301/40i.a.6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44.g" TargetMode="External"/><Relationship Id="rId11" Type="http://schemas.openxmlformats.org/officeDocument/2006/relationships/hyperlink" Target="http://www.nevo.co.il/law/70301/244" TargetMode="External"/><Relationship Id="rId12" Type="http://schemas.openxmlformats.org/officeDocument/2006/relationships/hyperlink" Target="http://www.nevo.co.il/law/70301/287.a" TargetMode="External"/><Relationship Id="rId13" Type="http://schemas.openxmlformats.org/officeDocument/2006/relationships/hyperlink" Target="http://www.nevo.co.il/law/70301/40ja" TargetMode="External"/><Relationship Id="rId14" Type="http://schemas.openxmlformats.org/officeDocument/2006/relationships/hyperlink" Target="http://www.nevo.co.il/law/70301/40jc" TargetMode="External"/><Relationship Id="rId15" Type="http://schemas.openxmlformats.org/officeDocument/2006/relationships/hyperlink" Target="http://www.nevo.co.il/law/70301/40jc.2" TargetMode="External"/><Relationship Id="rId16" Type="http://schemas.openxmlformats.org/officeDocument/2006/relationships/hyperlink" Target="http://www.nevo.co.il/case/28326890" TargetMode="External"/><Relationship Id="rId17" Type="http://schemas.openxmlformats.org/officeDocument/2006/relationships/hyperlink" Target="http://www.nevo.co.il/case/28344024" TargetMode="External"/><Relationship Id="rId18" Type="http://schemas.openxmlformats.org/officeDocument/2006/relationships/hyperlink" Target="http://www.nevo.co.il/case/28326890" TargetMode="External"/><Relationship Id="rId19" Type="http://schemas.openxmlformats.org/officeDocument/2006/relationships/hyperlink" Target="http://www.nevo.co.il/case/28326890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244" TargetMode="External"/><Relationship Id="rId23" Type="http://schemas.openxmlformats.org/officeDocument/2006/relationships/hyperlink" Target="http://www.nevo.co.il/law/70301/287.a" TargetMode="External"/><Relationship Id="rId24" Type="http://schemas.openxmlformats.org/officeDocument/2006/relationships/hyperlink" Target="http://www.nevo.co.il/case/28217960" TargetMode="External"/><Relationship Id="rId25" Type="http://schemas.openxmlformats.org/officeDocument/2006/relationships/hyperlink" Target="http://www.nevo.co.il/case/28344024" TargetMode="External"/><Relationship Id="rId26" Type="http://schemas.openxmlformats.org/officeDocument/2006/relationships/hyperlink" Target="http://www.nevo.co.il/case/28344024" TargetMode="External"/><Relationship Id="rId27" Type="http://schemas.openxmlformats.org/officeDocument/2006/relationships/hyperlink" Target="http://www.nevo.co.il/law/70301/144.b" TargetMode="External"/><Relationship Id="rId28" Type="http://schemas.openxmlformats.org/officeDocument/2006/relationships/hyperlink" Target="http://www.nevo.co.il/law/70301/31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40c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40i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0jc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13093721" TargetMode="External"/><Relationship Id="rId38" Type="http://schemas.openxmlformats.org/officeDocument/2006/relationships/hyperlink" Target="http://www.nevo.co.il/case/17023776" TargetMode="External"/><Relationship Id="rId39" Type="http://schemas.openxmlformats.org/officeDocument/2006/relationships/hyperlink" Target="http://www.nevo.co.il/case/17009738" TargetMode="External"/><Relationship Id="rId40" Type="http://schemas.openxmlformats.org/officeDocument/2006/relationships/hyperlink" Target="http://www.nevo.co.il/case/27513365" TargetMode="External"/><Relationship Id="rId41" Type="http://schemas.openxmlformats.org/officeDocument/2006/relationships/hyperlink" Target="http://www.nevo.co.il/case/20033641" TargetMode="External"/><Relationship Id="rId42" Type="http://schemas.openxmlformats.org/officeDocument/2006/relationships/hyperlink" Target="http://www.nevo.co.il/case/11303307" TargetMode="External"/><Relationship Id="rId43" Type="http://schemas.openxmlformats.org/officeDocument/2006/relationships/hyperlink" Target="http://www.nevo.co.il/law/70301/144.b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case/10485615" TargetMode="External"/><Relationship Id="rId46" Type="http://schemas.openxmlformats.org/officeDocument/2006/relationships/hyperlink" Target="http://www.nevo.co.il/case/5852404" TargetMode="External"/><Relationship Id="rId47" Type="http://schemas.openxmlformats.org/officeDocument/2006/relationships/hyperlink" Target="http://www.nevo.co.il/case/7821883" TargetMode="External"/><Relationship Id="rId48" Type="http://schemas.openxmlformats.org/officeDocument/2006/relationships/hyperlink" Target="http://www.nevo.co.il/law/70301/144.g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case/25824863" TargetMode="External"/><Relationship Id="rId51" Type="http://schemas.openxmlformats.org/officeDocument/2006/relationships/hyperlink" Target="http://www.nevo.co.il/case/27309272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case/26905927" TargetMode="External"/><Relationship Id="rId54" Type="http://schemas.openxmlformats.org/officeDocument/2006/relationships/hyperlink" Target="http://www.nevo.co.il/case/27708542" TargetMode="External"/><Relationship Id="rId55" Type="http://schemas.openxmlformats.org/officeDocument/2006/relationships/hyperlink" Target="http://www.nevo.co.il/case/27734980" TargetMode="External"/><Relationship Id="rId56" Type="http://schemas.openxmlformats.org/officeDocument/2006/relationships/hyperlink" Target="http://www.nevo.co.il/case/28200855" TargetMode="External"/><Relationship Id="rId57" Type="http://schemas.openxmlformats.org/officeDocument/2006/relationships/hyperlink" Target="http://www.nevo.co.il/case/28266138" TargetMode="External"/><Relationship Id="rId58" Type="http://schemas.openxmlformats.org/officeDocument/2006/relationships/hyperlink" Target="http://www.nevo.co.il/case/5969313" TargetMode="External"/><Relationship Id="rId59" Type="http://schemas.openxmlformats.org/officeDocument/2006/relationships/hyperlink" Target="http://www.nevo.co.il/law/70301/32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case/20513526" TargetMode="External"/><Relationship Id="rId62" Type="http://schemas.openxmlformats.org/officeDocument/2006/relationships/hyperlink" Target="http://www.nevo.co.il/case/5833181" TargetMode="External"/><Relationship Id="rId63" Type="http://schemas.openxmlformats.org/officeDocument/2006/relationships/hyperlink" Target="http://www.nevo.co.il/case/5587527" TargetMode="External"/><Relationship Id="rId64" Type="http://schemas.openxmlformats.org/officeDocument/2006/relationships/hyperlink" Target="http://www.nevo.co.il/case/28883087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case/28243273" TargetMode="External"/><Relationship Id="rId67" Type="http://schemas.openxmlformats.org/officeDocument/2006/relationships/hyperlink" Target="http://www.nevo.co.il/case/21474168" TargetMode="External"/><Relationship Id="rId68" Type="http://schemas.openxmlformats.org/officeDocument/2006/relationships/hyperlink" Target="http://www.nevo.co.il/case/28660017" TargetMode="External"/><Relationship Id="rId69" Type="http://schemas.openxmlformats.org/officeDocument/2006/relationships/hyperlink" Target="http://www.nevo.co.il/case/27911655" TargetMode="External"/><Relationship Id="rId70" Type="http://schemas.openxmlformats.org/officeDocument/2006/relationships/hyperlink" Target="http://www.nevo.co.il/case/28380863" TargetMode="External"/><Relationship Id="rId71" Type="http://schemas.openxmlformats.org/officeDocument/2006/relationships/hyperlink" Target="http://www.nevo.co.il/law/70301/40i.a.6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law/70301/40i.a" TargetMode="External"/><Relationship Id="rId74" Type="http://schemas.openxmlformats.org/officeDocument/2006/relationships/hyperlink" Target="http://www.nevo.co.il/law/70301" TargetMode="External"/><Relationship Id="rId75" Type="http://schemas.openxmlformats.org/officeDocument/2006/relationships/hyperlink" Target="http://www.nevo.co.il/law/70301/40ja" TargetMode="External"/><Relationship Id="rId76" Type="http://schemas.openxmlformats.org/officeDocument/2006/relationships/hyperlink" Target="http://www.nevo.co.il/law/70301" TargetMode="External"/><Relationship Id="rId77" Type="http://schemas.openxmlformats.org/officeDocument/2006/relationships/hyperlink" Target="http://www.nevo.co.il/law/70301/40jc.2" TargetMode="External"/><Relationship Id="rId78" Type="http://schemas.openxmlformats.org/officeDocument/2006/relationships/hyperlink" Target="http://www.nevo.co.il/law/70301" TargetMode="External"/><Relationship Id="rId79" Type="http://schemas.openxmlformats.org/officeDocument/2006/relationships/hyperlink" Target="http://www.nevo.co.il/case/28326890" TargetMode="External"/><Relationship Id="rId80" Type="http://schemas.openxmlformats.org/officeDocument/2006/relationships/hyperlink" Target="http://www.nevo.co.il/case/28344024" TargetMode="External"/><Relationship Id="rId81" Type="http://schemas.openxmlformats.org/officeDocument/2006/relationships/hyperlink" Target="http://www.nevo.co.il/advertisements/nevo-100.doc" TargetMode="External"/><Relationship Id="rId82" Type="http://schemas.openxmlformats.org/officeDocument/2006/relationships/header" Target="header1.xml"/><Relationship Id="rId83" Type="http://schemas.openxmlformats.org/officeDocument/2006/relationships/footer" Target="footer1.xml"/><Relationship Id="rId84" Type="http://schemas.openxmlformats.org/officeDocument/2006/relationships/numbering" Target="numbering.xml"/><Relationship Id="rId85" Type="http://schemas.openxmlformats.org/officeDocument/2006/relationships/fontTable" Target="fontTable.xml"/><Relationship Id="rId86" Type="http://schemas.openxmlformats.org/officeDocument/2006/relationships/settings" Target="settings.xml"/><Relationship Id="rId8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2024-05-05T08:34:00Z</dcterms:created>
  <dc:creator> </dc:creator>
  <dc:description/>
  <cp:keywords/>
  <dc:language>en-IL</dc:language>
  <cp:lastModifiedBy>h1</cp:lastModifiedBy>
  <dcterms:modified xsi:type="dcterms:W3CDTF">2024-05-05T08:34:00Z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מדינת-ישראל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עיסאם אמארה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28326890:3;28344024:3;28217960;13093721;17023776;17009738;27513365;20033641;11303307;10485615;5852404;7821883;25824863;27309272;26905927;27708542;27734980;28200855;28266138;5969313;20513526;5833181;5587527;28883087;28243273;21474168;28660017;27911655</vt:lpwstr>
  </property>
  <property fmtid="{D5CDD505-2E9C-101B-9397-08002B2CF9AE}" pid="9" name="CASESLISTTMP2">
    <vt:lpwstr>28380863</vt:lpwstr>
  </property>
  <property fmtid="{D5CDD505-2E9C-101B-9397-08002B2CF9AE}" pid="10" name="CITY">
    <vt:lpwstr>חי'</vt:lpwstr>
  </property>
  <property fmtid="{D5CDD505-2E9C-101B-9397-08002B2CF9AE}" pid="11" name="DATE">
    <vt:lpwstr>20230216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מוחמד עלי</vt:lpwstr>
  </property>
  <property fmtid="{D5CDD505-2E9C-101B-9397-08002B2CF9AE}" pid="15" name="LAWLISTTMP1">
    <vt:lpwstr>70301/144.b:3;244;287.a;031;040c;040i;40jc;144.g;032;040i.a.6;040i.a;40ja;40jc.2</vt:lpwstr>
  </property>
  <property fmtid="{D5CDD505-2E9C-101B-9397-08002B2CF9AE}" pid="16" name="LAWYER">
    <vt:lpwstr>אדם סרי;פאדי זועבי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41952</vt:lpwstr>
  </property>
  <property fmtid="{D5CDD505-2E9C-101B-9397-08002B2CF9AE}" pid="23" name="NEWPARTB">
    <vt:lpwstr>02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390020230216</vt:lpwstr>
  </property>
  <property fmtid="{D5CDD505-2E9C-101B-9397-08002B2CF9AE}" pid="35" name="TYPE_N_DATE">
    <vt:lpwstr>39020230216</vt:lpwstr>
  </property>
  <property fmtid="{D5CDD505-2E9C-101B-9397-08002B2CF9AE}" pid="36" name="VOLUME">
    <vt:lpwstr/>
  </property>
  <property fmtid="{D5CDD505-2E9C-101B-9397-08002B2CF9AE}" pid="37" name="WORDNUMPAGES">
    <vt:lpwstr>16</vt:lpwstr>
  </property>
</Properties>
</file>