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41994-03-15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קטנוב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5"/>
        <w:gridCol w:w="3760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שלי היאט                                         המאשימה 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אדוארד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קטנוב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אבנון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184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משנה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 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189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189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189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</w:rPr>
      </w:pPr>
      <w:bookmarkStart w:id="5" w:name="PsakDin"/>
      <w:bookmarkStart w:id="6" w:name="LawTable_End"/>
      <w:bookmarkEnd w:id="5"/>
      <w:bookmarkEnd w:id="6"/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23.12.14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00:20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הרופא</w:t>
      </w:r>
      <w:r>
        <w:rPr>
          <w:rtl w:val="true"/>
        </w:rPr>
        <w:t xml:space="preserve">",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tl w:val="true"/>
        </w:rPr>
        <w:t xml:space="preserve">".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".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, </w:t>
      </w:r>
      <w:r>
        <w:rPr>
          <w:rtl w:val="true"/>
        </w:rPr>
        <w:t>שכוללות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tl w:val="true"/>
        </w:rPr>
        <w:t xml:space="preserve">,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צורך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להגדיר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עיקריות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הפרמטרים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המנחים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לביטול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הרשעה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כתב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/>
        <w:t>343</w:t>
      </w:r>
      <w:r>
        <w:rPr>
          <w:rtl w:val="true"/>
        </w:rPr>
        <w:t xml:space="preserve">; 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5102/03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קליין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4.9.09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חנימוב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3.3.16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שעלול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להגרם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מעצם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9</w:t>
      </w:r>
      <w:r>
        <w:rPr>
          <w:rtl w:val="true"/>
        </w:rPr>
        <w:t xml:space="preserve">.       </w:t>
      </w:r>
      <w:hyperlink r:id="rId20">
        <w:r>
          <w:rPr>
            <w:rStyle w:val="Hyperlink"/>
            <w:color w:val="0000FF"/>
            <w:u w:val="single"/>
            <w:rtl w:val="true"/>
          </w:rPr>
          <w:t>בתקנה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תקנות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התעבורה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hanging="720" w:start="3600" w:end="0"/>
        <w:jc w:val="both"/>
        <w:rPr/>
      </w:pPr>
      <w:r>
        <w:rPr>
          <w:rtl w:val="true"/>
        </w:rPr>
        <w:t xml:space="preserve">" </w:t>
      </w:r>
      <w:r>
        <w:rPr/>
        <w:t>15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חידושה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רשאית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), </w:t>
      </w:r>
      <w:r>
        <w:rPr>
          <w:rtl w:val="true"/>
        </w:rPr>
        <w:t>להתלותה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- </w:t>
      </w:r>
    </w:p>
    <w:p>
      <w:pPr>
        <w:pStyle w:val="Normal"/>
        <w:spacing w:lineRule="auto" w:line="360" w:before="280" w:after="280"/>
        <w:ind w:start="360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חידושה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;</w:t>
      </w:r>
    </w:p>
    <w:p>
      <w:pPr>
        <w:pStyle w:val="Normal"/>
        <w:spacing w:lineRule="auto" w:line="360" w:before="280" w:after="280"/>
        <w:ind w:start="3600" w:end="14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התעודה</w:t>
      </w:r>
      <w:r>
        <w:rPr>
          <w:rtl w:val="true"/>
        </w:rPr>
        <w:t>".</w:t>
      </w:r>
    </w:p>
    <w:p>
      <w:pPr>
        <w:pStyle w:val="Normal"/>
        <w:spacing w:lineRule="auto" w:line="360" w:before="280" w:after="280"/>
        <w:ind w:end="360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ab/>
        <w:tab/>
        <w:tab/>
        <w:tab/>
      </w:r>
      <w:r>
        <w:rPr>
          <w:b/>
          <w:bCs/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10</w:t>
      </w:r>
      <w:r>
        <w:rPr>
          <w:rtl w:val="true"/>
        </w:rPr>
        <w:t xml:space="preserve">.       </w:t>
      </w:r>
      <w:hyperlink r:id="rId23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                                                      </w:t>
      </w:r>
      <w:r>
        <w:rPr/>
        <w:t>184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D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firstLine="720" w:start="2880" w:end="284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במונית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זעיר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start="2880" w:end="0"/>
        <w:jc w:val="both"/>
        <w:rPr/>
      </w:pPr>
      <w:r>
        <w:rPr>
          <w:rtl w:val="true"/>
        </w:rPr>
        <w:t>"</w:t>
      </w:r>
      <w:r>
        <w:rPr/>
        <w:t>189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). 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תקנה</w:t>
      </w:r>
      <w:r>
        <w:rPr>
          <w:rFonts w:cs="Times New Roman"/>
          <w:rtl w:val="true"/>
        </w:rPr>
        <w:t xml:space="preserve"> </w:t>
      </w:r>
      <w:r>
        <w:rPr/>
        <w:t>184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יתקיימו</w:t>
      </w:r>
      <w:r>
        <w:rPr>
          <w:rFonts w:cs="Times New Roman"/>
          <w:rtl w:val="true"/>
        </w:rPr>
        <w:t xml:space="preserve">     </w:t>
      </w:r>
      <w:r>
        <w:rPr>
          <w:rtl w:val="true"/>
        </w:rPr>
        <w:tab/>
      </w:r>
      <w:r>
        <w:rPr>
          <w:rtl w:val="true"/>
        </w:rPr>
        <w:t xml:space="preserve"> 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      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/>
          <w:bCs/>
          <w:rtl w:val="true"/>
        </w:rPr>
        <w:t>ב</w:t>
      </w:r>
      <w:r>
        <w:rPr>
          <w:rtl w:val="true"/>
        </w:rPr>
        <w:t>"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ab/>
        <w:tab/>
        <w:tab/>
        <w:tab/>
      </w:r>
      <w:r>
        <w:rPr>
          <w:rtl w:val="true"/>
        </w:rPr>
        <w:t>"</w:t>
      </w:r>
      <w:r>
        <w:rPr/>
        <w:t>185</w:t>
      </w:r>
      <w:r>
        <w:rPr>
          <w:rtl w:val="true"/>
        </w:rPr>
        <w:t>.</w:t>
        <w:tab/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דרגה</w:t>
      </w:r>
      <w:r>
        <w:rPr>
          <w:rFonts w:cs="Times New Roman"/>
          <w:rtl w:val="true"/>
        </w:rPr>
        <w:t xml:space="preserve"> </w:t>
      </w:r>
      <w:r>
        <w:rPr/>
        <w:t>D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ab/>
        <w:tab/>
        <w:tab/>
        <w:tab/>
        <w:tab/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באוטובוס</w:t>
      </w:r>
      <w:r>
        <w:rPr>
          <w:rtl w:val="true"/>
        </w:rPr>
        <w:t>;"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ותקנה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תקנה</w:t>
      </w:r>
      <w:r>
        <w:rPr>
          <w:rFonts w:cs="Times New Roman"/>
          <w:rtl w:val="true"/>
        </w:rPr>
        <w:t xml:space="preserve"> </w:t>
      </w:r>
      <w:r>
        <w:rPr/>
        <w:t>185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...." </w:t>
      </w:r>
      <w:r>
        <w:rPr>
          <w:rtl w:val="true"/>
        </w:rPr>
        <w:tab/>
        <w:tab/>
        <w:tab/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תקנת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משנה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שבתקנה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189</w:t>
        </w:r>
      </w:hyperlink>
      <w:r>
        <w:rPr>
          <w:rtl w:val="true"/>
        </w:rPr>
        <w:t xml:space="preserve"> </w:t>
      </w:r>
      <w:r>
        <w:rPr>
          <w:rtl w:val="true"/>
        </w:rPr>
        <w:t>מפנה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שדנה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ולאוטובוס</w:t>
      </w:r>
      <w:r>
        <w:rPr>
          <w:rtl w:val="true"/>
        </w:rPr>
        <w:t xml:space="preserve">.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15757-08-10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משרד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16.12.2010</w:t>
      </w:r>
      <w:r>
        <w:rPr>
          <w:rtl w:val="true"/>
        </w:rPr>
        <w:t xml:space="preserve">) </w:t>
      </w:r>
      <w:r>
        <w:rPr>
          <w:rtl w:val="true"/>
        </w:rPr>
        <w:t>והאסמכתאות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72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סוג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שבה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 w:before="280" w:after="280"/>
        <w:ind w:hanging="720" w:start="720" w:end="142"/>
        <w:jc w:val="both"/>
        <w:rPr>
          <w:u w:val="single"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אנלוגיה</w:t>
      </w:r>
      <w:r>
        <w:rPr>
          <w:rtl w:val="true"/>
        </w:rPr>
        <w:t xml:space="preserve">, 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איומים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שוטר</w:t>
      </w:r>
      <w:r>
        <w:rPr>
          <w:u w:val="single"/>
          <w:rtl w:val="true"/>
        </w:rPr>
        <w:t xml:space="preserve">: </w:t>
      </w:r>
    </w:p>
    <w:p>
      <w:pPr>
        <w:pStyle w:val="Normal"/>
        <w:spacing w:lineRule="auto" w:line="360" w:before="280" w:after="28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3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16233-05-15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חדידה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8.12.15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hyperlink r:id="rId3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14167-10-15</w:t>
        </w:r>
      </w:hyperlink>
      <w:r>
        <w:rPr>
          <w:rtl w:val="true"/>
        </w:rPr>
        <w:t xml:space="preserve"> </w:t>
      </w:r>
      <w:r>
        <w:rPr>
          <w:rtl w:val="true"/>
        </w:rPr>
        <w:t>אלמנאו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9.2.16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280" w:after="280"/>
        <w:ind w:hanging="720" w:start="1440" w:end="142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43351-08-14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אלמיו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24.11.14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</w:t>
      </w:r>
      <w:r>
        <w:rPr>
          <w:rtl w:val="true"/>
        </w:rPr>
        <w:t xml:space="preserve">)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72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סיכום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hanging="720" w:start="1440" w:end="72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1440" w:end="72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80" w:after="280"/>
        <w:ind w:start="720" w:end="72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start="720" w:end="72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41994-03-15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אדוארד קטנוב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4274" TargetMode="External"/><Relationship Id="rId5" Type="http://schemas.openxmlformats.org/officeDocument/2006/relationships/hyperlink" Target="http://www.nevo.co.il/law/74274/15b" TargetMode="External"/><Relationship Id="rId6" Type="http://schemas.openxmlformats.org/officeDocument/2006/relationships/hyperlink" Target="http://www.nevo.co.il/law/74274/15b.1" TargetMode="External"/><Relationship Id="rId7" Type="http://schemas.openxmlformats.org/officeDocument/2006/relationships/hyperlink" Target="http://www.nevo.co.il/law/74274/15b.3" TargetMode="External"/><Relationship Id="rId8" Type="http://schemas.openxmlformats.org/officeDocument/2006/relationships/hyperlink" Target="http://www.nevo.co.il/law/74274/184.a.2" TargetMode="External"/><Relationship Id="rId9" Type="http://schemas.openxmlformats.org/officeDocument/2006/relationships/hyperlink" Target="http://www.nevo.co.il/law/74274/185.1" TargetMode="External"/><Relationship Id="rId10" Type="http://schemas.openxmlformats.org/officeDocument/2006/relationships/hyperlink" Target="http://www.nevo.co.il/law/74274/189.d" TargetMode="External"/><Relationship Id="rId11" Type="http://schemas.openxmlformats.org/officeDocument/2006/relationships/hyperlink" Target="http://www.nevo.co.il/law/74274/189.d.4" TargetMode="External"/><Relationship Id="rId12" Type="http://schemas.openxmlformats.org/officeDocument/2006/relationships/hyperlink" Target="http://www.nevo.co.il/law/74274/189.e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4903/192a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5810781" TargetMode="External"/><Relationship Id="rId18" Type="http://schemas.openxmlformats.org/officeDocument/2006/relationships/hyperlink" Target="http://www.nevo.co.il/case/5993495" TargetMode="External"/><Relationship Id="rId19" Type="http://schemas.openxmlformats.org/officeDocument/2006/relationships/hyperlink" Target="http://www.nevo.co.il/case/20500251" TargetMode="External"/><Relationship Id="rId20" Type="http://schemas.openxmlformats.org/officeDocument/2006/relationships/hyperlink" Target="http://www.nevo.co.il/law/74274/15b.1" TargetMode="External"/><Relationship Id="rId21" Type="http://schemas.openxmlformats.org/officeDocument/2006/relationships/hyperlink" Target="http://www.nevo.co.il/law/74274/15b.3" TargetMode="External"/><Relationship Id="rId22" Type="http://schemas.openxmlformats.org/officeDocument/2006/relationships/hyperlink" Target="http://www.nevo.co.il/law/74274" TargetMode="External"/><Relationship Id="rId23" Type="http://schemas.openxmlformats.org/officeDocument/2006/relationships/hyperlink" Target="http://www.nevo.co.il/law/74274/184.a.2" TargetMode="External"/><Relationship Id="rId24" Type="http://schemas.openxmlformats.org/officeDocument/2006/relationships/hyperlink" Target="http://www.nevo.co.il/law/74274" TargetMode="External"/><Relationship Id="rId25" Type="http://schemas.openxmlformats.org/officeDocument/2006/relationships/hyperlink" Target="http://www.nevo.co.il/law/74274/189.d.4" TargetMode="External"/><Relationship Id="rId26" Type="http://schemas.openxmlformats.org/officeDocument/2006/relationships/hyperlink" Target="http://www.nevo.co.il/law/74274" TargetMode="External"/><Relationship Id="rId27" Type="http://schemas.openxmlformats.org/officeDocument/2006/relationships/hyperlink" Target="http://www.nevo.co.il/law/74274/185.1" TargetMode="External"/><Relationship Id="rId28" Type="http://schemas.openxmlformats.org/officeDocument/2006/relationships/hyperlink" Target="http://www.nevo.co.il/law/74274" TargetMode="External"/><Relationship Id="rId29" Type="http://schemas.openxmlformats.org/officeDocument/2006/relationships/hyperlink" Target="http://www.nevo.co.il/law/74274/189.e" TargetMode="External"/><Relationship Id="rId30" Type="http://schemas.openxmlformats.org/officeDocument/2006/relationships/hyperlink" Target="http://www.nevo.co.il/law/74274" TargetMode="External"/><Relationship Id="rId31" Type="http://schemas.openxmlformats.org/officeDocument/2006/relationships/hyperlink" Target="http://www.nevo.co.il/law/74274/189.d" TargetMode="External"/><Relationship Id="rId32" Type="http://schemas.openxmlformats.org/officeDocument/2006/relationships/hyperlink" Target="http://www.nevo.co.il/law/74274/15b" TargetMode="External"/><Relationship Id="rId33" Type="http://schemas.openxmlformats.org/officeDocument/2006/relationships/hyperlink" Target="http://www.nevo.co.il/law/74274" TargetMode="External"/><Relationship Id="rId34" Type="http://schemas.openxmlformats.org/officeDocument/2006/relationships/hyperlink" Target="http://www.nevo.co.il/case/4383163" TargetMode="External"/><Relationship Id="rId35" Type="http://schemas.openxmlformats.org/officeDocument/2006/relationships/hyperlink" Target="http://www.nevo.co.il/case/20260580" TargetMode="External"/><Relationship Id="rId36" Type="http://schemas.openxmlformats.org/officeDocument/2006/relationships/hyperlink" Target="http://www.nevo.co.il/case/20616018" TargetMode="External"/><Relationship Id="rId37" Type="http://schemas.openxmlformats.org/officeDocument/2006/relationships/hyperlink" Target="http://www.nevo.co.il/case/17990791" TargetMode="External"/><Relationship Id="rId38" Type="http://schemas.openxmlformats.org/officeDocument/2006/relationships/hyperlink" Target="http://www.nevo.co.il/law/74903/192a" TargetMode="External"/><Relationship Id="rId39" Type="http://schemas.openxmlformats.org/officeDocument/2006/relationships/hyperlink" Target="http://www.nevo.co.il/law/74903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2016-12-01T15:24:00Z</dcterms:created>
  <dc:creator> </dc:creator>
  <dc:description/>
  <cp:keywords/>
  <dc:language>en-IL</dc:language>
  <cp:lastModifiedBy>miri</cp:lastModifiedBy>
  <dcterms:modified xsi:type="dcterms:W3CDTF">2016-12-01T15:24:00Z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אדוארד קטנוב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5810781;5993495;20500251;4383163;20260580;20616018;17990791</vt:lpwstr>
  </property>
  <property fmtid="{D5CDD505-2E9C-101B-9397-08002B2CF9AE}" pid="9" name="CITY">
    <vt:lpwstr>רמ'</vt:lpwstr>
  </property>
  <property fmtid="{D5CDD505-2E9C-101B-9397-08002B2CF9AE}" pid="10" name="DATE">
    <vt:lpwstr>20160509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</vt:lpwstr>
  </property>
  <property fmtid="{D5CDD505-2E9C-101B-9397-08002B2CF9AE}" pid="15" name="LAWLISTTMP2">
    <vt:lpwstr>74274/015b.1;015b.3;184.a.2;189.d.4;185.1;189.e;189.d;015b</vt:lpwstr>
  </property>
  <property fmtid="{D5CDD505-2E9C-101B-9397-08002B2CF9AE}" pid="16" name="LAWLISTTMP3">
    <vt:lpwstr>74903/192a</vt:lpwstr>
  </property>
  <property fmtid="{D5CDD505-2E9C-101B-9397-08002B2CF9AE}" pid="17" name="LAWYER">
    <vt:lpwstr>צבי אבנון;שלי היאט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41994</vt:lpwstr>
  </property>
  <property fmtid="{D5CDD505-2E9C-101B-9397-08002B2CF9AE}" pid="24" name="NEWPARTB">
    <vt:lpwstr>03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380020160509</vt:lpwstr>
  </property>
  <property fmtid="{D5CDD505-2E9C-101B-9397-08002B2CF9AE}" pid="36" name="TYPE_N_DATE">
    <vt:lpwstr>38020160509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