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2"/>
        <w:gridCol w:w="3667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42106-01-22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וחידי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מרב 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ליטל שירי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עבדאללה וחידי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עמית שלף ועו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שרון רבינוביץ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</w:rPr>
      </w:pPr>
      <w:bookmarkStart w:id="10" w:name="ABSTRACT_START"/>
      <w:bookmarkEnd w:id="10"/>
      <w:r>
        <w:rPr>
          <w:rFonts w:ascii="David" w:hAnsi="David" w:eastAsia="David"/>
          <w:rtl w:val="true"/>
        </w:rPr>
        <w:t>הנאשם הורשע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במסגרת הסדר דיוני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בעובדות כתב אישום מתוקן בעבירת </w:t>
      </w:r>
      <w:r>
        <w:rPr>
          <w:rFonts w:ascii="David" w:hAnsi="David" w:eastAsia="David"/>
          <w:b/>
          <w:b/>
          <w:bCs/>
          <w:rtl w:val="true"/>
        </w:rPr>
        <w:t>החזקת נשק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אביזר נשק ותחמושת שלא כדין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לפי </w:t>
      </w:r>
      <w:hyperlink r:id="rId4">
        <w:r>
          <w:rPr>
            <w:rStyle w:val="Hyperlink"/>
            <w:rFonts w:ascii="David" w:hAnsi="David" w:eastAsia="David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eastAsia="David" w:cs="David" w:ascii="David" w:hAnsi="David"/>
            <w:b/>
            <w:bCs/>
          </w:rPr>
          <w:t>144</w:t>
        </w:r>
        <w:r>
          <w:rPr>
            <w:rStyle w:val="Hyperlink"/>
            <w:rFonts w:eastAsia="David" w:cs="David" w:ascii="David" w:hAnsi="David"/>
            <w:b/>
            <w:bCs/>
            <w:rtl w:val="true"/>
          </w:rPr>
          <w:t>(</w:t>
        </w:r>
        <w:r>
          <w:rPr>
            <w:rStyle w:val="Hyperlink"/>
            <w:rFonts w:ascii="David" w:hAnsi="David" w:eastAsia="David"/>
            <w:b/>
            <w:b/>
            <w:bCs/>
            <w:rtl w:val="true"/>
          </w:rPr>
          <w:t>א</w:t>
        </w:r>
        <w:r>
          <w:rPr>
            <w:rStyle w:val="Hyperlink"/>
            <w:rFonts w:eastAsia="David" w:cs="David" w:ascii="David" w:hAnsi="David"/>
            <w:b/>
            <w:bCs/>
            <w:rtl w:val="true"/>
          </w:rPr>
          <w:t>)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רישא וסיפא ל</w:t>
      </w:r>
      <w:hyperlink r:id="rId5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תשל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ז</w:t>
      </w:r>
      <w:r>
        <w:rPr>
          <w:rFonts w:eastAsia="David" w:cs="David" w:ascii="David" w:hAnsi="David"/>
          <w:b/>
          <w:bCs/>
          <w:rtl w:val="true"/>
        </w:rPr>
        <w:t>-</w:t>
      </w:r>
      <w:r>
        <w:rPr>
          <w:rFonts w:eastAsia="David" w:cs="David" w:ascii="David" w:hAnsi="David"/>
          <w:b/>
          <w:bCs/>
        </w:rPr>
        <w:t>1977</w:t>
      </w:r>
      <w:r>
        <w:rPr>
          <w:rFonts w:eastAsia="David" w:cs="David" w:ascii="David" w:hAnsi="David"/>
          <w:rtl w:val="true"/>
        </w:rPr>
        <w:t xml:space="preserve"> (</w:t>
      </w:r>
      <w:r>
        <w:rPr>
          <w:rFonts w:ascii="David" w:hAnsi="David" w:eastAsia="David"/>
          <w:rtl w:val="true"/>
        </w:rPr>
        <w:t>להלן</w:t>
      </w:r>
      <w:r>
        <w:rPr>
          <w:rFonts w:eastAsia="David" w:cs="David" w:ascii="David" w:hAnsi="David"/>
          <w:rtl w:val="true"/>
        </w:rPr>
        <w:t>: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החוק</w:t>
      </w:r>
      <w:r>
        <w:rPr>
          <w:rFonts w:eastAsia="David" w:cs="David" w:ascii="David" w:hAnsi="David"/>
          <w:rtl w:val="true"/>
        </w:rPr>
        <w:t>").</w:t>
      </w: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כמפורט בעובדות כתב האישום המתוקן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עובר ליום </w:t>
      </w:r>
      <w:r>
        <w:rPr>
          <w:rFonts w:eastAsia="David" w:cs="David" w:ascii="David" w:hAnsi="David"/>
        </w:rPr>
        <w:t>7.12.21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בנסיבות שאינן ידועות למאשימה במדוייק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הגיע לחזקתו של הנאשם רובה ארוך עם קת מסוג </w:t>
      </w:r>
      <w:r>
        <w:rPr>
          <w:rFonts w:eastAsia="David" w:cs="David" w:ascii="David" w:hAnsi="David"/>
        </w:rPr>
        <w:t>MP5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ומחסנית תואמת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אותו החזיק מוסלק ברצפת מכולה הסמוכה לביתו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בהמשך להסכמות הצדדים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ומפאת גילו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התקבל בעניינו תסקיר חיובי בעיקרו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לפיו הנאשם בן </w:t>
      </w:r>
      <w:r>
        <w:rPr>
          <w:rFonts w:eastAsia="David" w:cs="David" w:ascii="David" w:hAnsi="David"/>
        </w:rPr>
        <w:t>21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ללא עבר פלילי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בן למשפחה נורמטיבית ותומכת שגינתה בתוקף את מעשיו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הנאשם סיים לימודי מקצוע כרתך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עובד ואמור היה להינשא לבת זוגו אך נוכח הסתבכותו בתיק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נותק הקשר ביניהם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הנאשם נטל אחריות על מעשיו והביע צער וחרטה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לדבריו שמר את הנשק בתשלום עבור אחד מחבריו מתוך רצון לרצותו ולהשתלב מבחינה חברתית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אף להערכת שירות המבחן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ביצע את מעשיו נוכח דימוי עצמי נמוך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ביסוס תדמית גברית ורצון לתחושת שייכות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עוד העריכו כי הסיכון הנשקף ממנו נמוך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הנאשם הביע נכונות להשתלב בקבוצה טיפולית אך זו טרם נפתחה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לסיכום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משזו לו מעורבות פלילית יחידה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נוכח חששו ממאסר והבנה של חומרת מעשיו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בא שירות המבחן בהמלצה להסתפק בעבודות שירות לצד צו מבחן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תמצית הטיעונים לעונש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כ המאשימה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עו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ד ליטל שירי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עמדה בטיעוניה על חומרת עבירות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הפגיעה בערכים המוגנים ופוטנציאל הנזק שעלול היה להיגרם מהחזקת נשק בלתי חוקי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עוד הדגיש לחומרה את העובדה שהנשק נתפס כשלצדו מחסנית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באשר למדיניות הענישה הנוהגת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עמדה המאשימה על מגמת ההחמרה בענישה בעבירות 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ועל כך שביצע את המעשה על סף כניסת הוראת השעה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בה נקבעו עונשי מינימום בעבירות נשק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המאשימה עתרה למתחם ענישה שנע בין </w:t>
      </w:r>
      <w:r>
        <w:rPr>
          <w:rFonts w:eastAsia="David" w:cs="David" w:ascii="David" w:hAnsi="David"/>
        </w:rPr>
        <w:t>24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eastAsia="David" w:cs="David" w:ascii="David" w:hAnsi="David"/>
        </w:rPr>
        <w:t>56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ואיננה סבורה כי יש מקום לסטות בעניינו מטעמי שיקום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נוכח גילו הצעיר ונסיבותיו החיוביות ביקשה למקמו בתחתית המתחם לצד ענישה נלווית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מנגד עתר 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כ 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עו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ד עמית שלף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למתחם מתון יותר שמאפשר להסתפק בעבודות שירות או לחילופין לחריגה ממתחם הענישה לצרכי שיקום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כ הנאשם הדגיש כי מדובר בהחזקה בתוך מכולה ולא באופן המלמד על שימוש מיידי וכן שהנשק לא היה טעון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עוד עמד על המחירים האישיים הכבדים ששילם 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משפחתו כועסת עליו ולא סומכת עליו וארוסתו עזבה אותו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לדבריו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הסתבכותו בתיק עצרה את התדרדרותו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הנאשם שיתף פעולה עם שירות המבחן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מסוכנותו הוערכה כנמוכה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מגלה מוטיבציה טיפולית וללא עבר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וסבור כי יש בכל אלו כדי לשמש טעמים לחרוג ממתחם מאסר ממש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עוד הפנה לאסופת פסיקה שבה נקבעו מתחמים נמוכים יותר ועונשי עבודות שירות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</w:r>
    </w:p>
    <w:p>
      <w:pPr>
        <w:pStyle w:val="Normal"/>
        <w:numPr>
          <w:ilvl w:val="0"/>
          <w:numId w:val="2"/>
        </w:numPr>
        <w:spacing w:before="0" w:after="0"/>
        <w:ind w:hanging="360" w:start="72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rtl w:val="true"/>
        </w:rPr>
        <w:t>הנאשם בדברו האחרון</w:t>
      </w:r>
      <w:r>
        <w:rPr>
          <w:rFonts w:ascii="David" w:hAnsi="David" w:eastAsia="David"/>
          <w:rtl w:val="true"/>
        </w:rPr>
        <w:t xml:space="preserve"> הודה שטעה והוסיף כי חושש ממאסר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מתחם העונש ההולם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2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עבירות הנשק הפכו זה מכבר למכת מדינה ומגלמות סכנה ממשית לשלום הציבור ולביטחונו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חומרתן היתרה של עבירות אלה אינה מתמצה אך בעבירות גופן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אלא בפוטנציאל הנזק הנובע מהן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פגיעתן הקשה והשפעתן על תחושת הביטחון של כלל אזרחי המדינה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זכו להתייחסות נרחבת בפסקי דין רבים של בית משפט העליון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מגמת הפסיקה בשנים האחרונות מלמדת על החמרה בענישה לצורך מיגור עבירות אלו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תוך מתן משקל לשיקולי הרתעה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מגמה זו אחידה ועקבית ביחס לכלל עברייני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אף כשהם נעדרי עבר פלילי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והאירוע הוא בגדר חריג בנוף חייהם הנורמטיבי </w:t>
      </w:r>
      <w:r>
        <w:rPr>
          <w:rFonts w:eastAsia="David" w:cs="David" w:ascii="David" w:hAnsi="David"/>
          <w:rtl w:val="true"/>
        </w:rPr>
        <w:t>(</w:t>
      </w:r>
      <w:hyperlink r:id="rId6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5813/21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מוחמד ג</w:t>
      </w:r>
      <w:r>
        <w:rPr>
          <w:rFonts w:eastAsia="David" w:cs="David" w:ascii="David" w:hAnsi="David"/>
          <w:b/>
          <w:bCs/>
          <w:rtl w:val="true"/>
        </w:rPr>
        <w:t>'</w:t>
      </w:r>
      <w:r>
        <w:rPr>
          <w:rFonts w:ascii="David" w:hAnsi="David" w:eastAsia="David"/>
          <w:b/>
          <w:b/>
          <w:bCs/>
          <w:rtl w:val="true"/>
        </w:rPr>
        <w:t>בארין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מדינת ישראל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פס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</w:rPr>
        <w:t>14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31.5.2022</w:t>
      </w:r>
      <w:r>
        <w:rPr>
          <w:rFonts w:eastAsia="David" w:cs="David" w:ascii="David" w:hAnsi="David"/>
          <w:rtl w:val="true"/>
        </w:rPr>
        <w:t xml:space="preserve">); </w:t>
      </w:r>
      <w:r>
        <w:rPr>
          <w:rFonts w:ascii="David" w:hAnsi="David" w:eastAsia="David"/>
          <w:rtl w:val="true"/>
        </w:rPr>
        <w:t>ב</w:t>
      </w:r>
      <w:hyperlink r:id="rId7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6011/21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חאלד דסוקי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מדנית ישראל</w:t>
      </w:r>
      <w:r>
        <w:rPr>
          <w:rFonts w:ascii="David" w:hAnsi="David" w:eastAsia="David"/>
          <w:rtl w:val="true"/>
        </w:rPr>
        <w:t xml:space="preserve"> 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25.11.2021</w:t>
      </w:r>
      <w:r>
        <w:rPr>
          <w:rFonts w:eastAsia="David" w:cs="David" w:ascii="David" w:hAnsi="David"/>
          <w:rtl w:val="true"/>
        </w:rPr>
        <w:t xml:space="preserve">); </w:t>
      </w:r>
      <w:hyperlink r:id="rId8">
        <w:r>
          <w:rPr>
            <w:rStyle w:val="Hyperlink"/>
            <w:rFonts w:ascii="David" w:hAnsi="David" w:eastAsia="David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spacing w:val="10"/>
            <w:sz w:val="20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spacing w:val="10"/>
            <w:sz w:val="20"/>
            <w:u w:val="single"/>
            <w:shd w:fill="FFFFFF" w:val="clear"/>
          </w:rPr>
          <w:t>8320/21</w:t>
        </w:r>
      </w:hyperlink>
      <w:r>
        <w:rPr>
          <w:rFonts w:eastAsia="David" w:cs="David" w:ascii="David" w:hAnsi="David"/>
          <w:spacing w:val="10"/>
          <w:sz w:val="20"/>
          <w:shd w:fill="FFFFFF" w:val="clear"/>
          <w:rtl w:val="true"/>
        </w:rPr>
        <w:t xml:space="preserve"> </w:t>
      </w:r>
      <w:r>
        <w:rPr>
          <w:rFonts w:ascii="David" w:hAnsi="David" w:eastAsia="David"/>
          <w:b/>
          <w:b/>
          <w:bCs/>
          <w:spacing w:val="10"/>
          <w:sz w:val="20"/>
          <w:sz w:val="20"/>
          <w:shd w:fill="FFFFFF" w:val="clear"/>
          <w:rtl w:val="true"/>
        </w:rPr>
        <w:t>מדינת ישראל נ</w:t>
      </w:r>
      <w:r>
        <w:rPr>
          <w:rFonts w:eastAsia="David" w:cs="David" w:ascii="David" w:hAnsi="David"/>
          <w:b/>
          <w:bCs/>
          <w:spacing w:val="10"/>
          <w:sz w:val="20"/>
          <w:shd w:fill="FFFFFF" w:val="clear"/>
          <w:rtl w:val="true"/>
        </w:rPr>
        <w:t xml:space="preserve">' </w:t>
      </w:r>
      <w:r>
        <w:rPr>
          <w:rFonts w:ascii="David" w:hAnsi="David" w:eastAsia="David"/>
          <w:b/>
          <w:b/>
          <w:bCs/>
          <w:spacing w:val="10"/>
          <w:sz w:val="20"/>
          <w:sz w:val="20"/>
          <w:shd w:fill="FFFFFF" w:val="clear"/>
          <w:rtl w:val="true"/>
        </w:rPr>
        <w:t>מחמד בסילה</w:t>
      </w:r>
      <w:r>
        <w:rPr>
          <w:rFonts w:eastAsia="David" w:cs="David" w:ascii="David" w:hAnsi="David"/>
          <w:spacing w:val="10"/>
          <w:sz w:val="20"/>
          <w:shd w:fill="FFFFFF" w:val="clear"/>
          <w:rtl w:val="true"/>
        </w:rPr>
        <w:t xml:space="preserve">, </w:t>
      </w:r>
      <w:r>
        <w:rPr>
          <w:rFonts w:ascii="David" w:hAnsi="David" w:eastAsia="David"/>
          <w:spacing w:val="10"/>
          <w:sz w:val="20"/>
          <w:sz w:val="20"/>
          <w:shd w:fill="FFFFFF" w:val="clear"/>
          <w:rtl w:val="true"/>
        </w:rPr>
        <w:t>פס</w:t>
      </w:r>
      <w:r>
        <w:rPr>
          <w:rFonts w:eastAsia="David" w:cs="David" w:ascii="David" w:hAnsi="David"/>
          <w:spacing w:val="10"/>
          <w:sz w:val="20"/>
          <w:shd w:fill="FFFFFF" w:val="clear"/>
          <w:rtl w:val="true"/>
        </w:rPr>
        <w:t xml:space="preserve">' </w:t>
      </w:r>
      <w:r>
        <w:rPr>
          <w:rFonts w:eastAsia="David" w:cs="David" w:ascii="David" w:hAnsi="David"/>
          <w:spacing w:val="10"/>
          <w:sz w:val="20"/>
          <w:shd w:fill="FFFFFF" w:val="clear"/>
        </w:rPr>
        <w:t>10</w:t>
      </w:r>
      <w:r>
        <w:rPr>
          <w:rFonts w:eastAsia="David" w:cs="David" w:ascii="David" w:hAnsi="David"/>
          <w:spacing w:val="10"/>
          <w:sz w:val="20"/>
          <w:shd w:fill="FFFFFF" w:val="clear"/>
          <w:rtl w:val="true"/>
        </w:rPr>
        <w:t xml:space="preserve"> (</w:t>
      </w:r>
      <w:r>
        <w:rPr>
          <w:rFonts w:eastAsia="David" w:cs="David" w:ascii="David" w:hAnsi="David"/>
          <w:spacing w:val="10"/>
          <w:sz w:val="20"/>
          <w:shd w:fill="FFFFFF" w:val="clear"/>
        </w:rPr>
        <w:t>28.12.2021</w:t>
      </w:r>
      <w:r>
        <w:rPr>
          <w:rFonts w:eastAsia="David" w:cs="David" w:ascii="David" w:hAnsi="David"/>
          <w:spacing w:val="10"/>
          <w:sz w:val="20"/>
          <w:shd w:fill="FFFFFF" w:val="clear"/>
          <w:rtl w:val="true"/>
        </w:rPr>
        <w:t>)</w:t>
      </w:r>
      <w:r>
        <w:rPr>
          <w:rFonts w:eastAsia="David" w:cs="David" w:ascii="David" w:hAnsi="David"/>
          <w:rtl w:val="true"/>
        </w:rPr>
        <w:t xml:space="preserve">; </w:t>
      </w:r>
      <w:hyperlink r:id="rId9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2283/22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אל נבארי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31.7.2022</w:t>
      </w:r>
      <w:r>
        <w:rPr>
          <w:rFonts w:eastAsia="David" w:cs="David" w:ascii="David" w:hAnsi="David"/>
          <w:rtl w:val="true"/>
        </w:rPr>
        <w:t xml:space="preserve">); </w:t>
      </w:r>
      <w:hyperlink r:id="rId10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78/21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פלוני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מדינת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26.7.2022</w:t>
      </w:r>
      <w:r>
        <w:rPr>
          <w:rFonts w:eastAsia="David" w:cs="David" w:ascii="David" w:hAnsi="David"/>
          <w:rtl w:val="true"/>
        </w:rPr>
        <w:t xml:space="preserve">); </w:t>
      </w:r>
      <w:hyperlink r:id="rId11">
        <w:r>
          <w:rPr>
            <w:rStyle w:val="Hyperlink"/>
            <w:rFonts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/>
            <w:color w:val="0000FF"/>
            <w:u w:val="single"/>
            <w:rtl w:val="true"/>
          </w:rPr>
          <w:t>"</w:t>
        </w:r>
        <w:r>
          <w:rPr>
            <w:rStyle w:val="Hyperlink"/>
            <w:rFonts w:eastAsia="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David"/>
            <w:color w:val="0000FF"/>
            <w:u w:val="single"/>
          </w:rPr>
          <w:t>116/13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וקנין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מדינת ישראל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פס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</w:rPr>
        <w:t>7</w:t>
      </w:r>
      <w:r>
        <w:rPr>
          <w:rFonts w:eastAsia="David" w:cs="David" w:ascii="David" w:hAnsi="David"/>
          <w:rtl w:val="true"/>
        </w:rPr>
        <w:t xml:space="preserve"> (</w:t>
      </w:r>
      <w:r>
        <w:rPr>
          <w:rFonts w:eastAsia="David" w:cs="David" w:ascii="David" w:hAnsi="David"/>
        </w:rPr>
        <w:t>31.7.2013</w:t>
      </w:r>
      <w:r>
        <w:rPr>
          <w:rFonts w:eastAsia="David" w:cs="David" w:ascii="David" w:hAnsi="David"/>
          <w:rtl w:val="true"/>
        </w:rPr>
        <w:t xml:space="preserve">)).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מגמה זו קיבלה ביטוי גם בחקיקה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במסגרת תיקון </w:t>
      </w:r>
      <w:r>
        <w:rPr>
          <w:rFonts w:eastAsia="David" w:cs="David" w:ascii="David" w:hAnsi="David"/>
        </w:rPr>
        <w:t>140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לחוק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בו נקבעו עונשי מינימום לעבירות נשק באשר הן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באופן שככלל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העונש שיושת בגין עבירות אלו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לא יפחת מרבע העונש המרבי שנקבע לעבירה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התיקון נכנס לתוקף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ביום </w:t>
      </w:r>
      <w:r>
        <w:rPr>
          <w:rFonts w:eastAsia="David" w:cs="David" w:ascii="David" w:hAnsi="David"/>
        </w:rPr>
        <w:t>8.12.21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יום למחרת  מועד ביצוע העבירה אך רוחו שורה גם על המקרה שבפנינו</w:t>
      </w:r>
      <w:r>
        <w:rPr>
          <w:rFonts w:eastAsia="David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357" w:start="714" w:end="0"/>
        <w:contextualSpacing/>
        <w:jc w:val="both"/>
        <w:textAlignment w:val="baseline"/>
        <w:rPr/>
      </w:pPr>
      <w:r>
        <w:rPr>
          <w:rFonts w:ascii="David" w:hAnsi="David" w:eastAsia="David"/>
          <w:rtl w:val="true"/>
        </w:rPr>
        <w:t>לגופו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הנאשם החזיק ברובה ארוך ולצדו מחסנית תואמת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את הנשק החביא במכוון במכולה ליד ביתו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אין לדעת את משך התקופה בה הוחזק הנשק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לדברי הנאשם בתסקירו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הנשק שייך לחברו והוא החזיקו תמורת תשלום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את המעשה ביצע מסיבות חברתיות ומתוך מניע כלכלי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כך או אחרת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הנאשם לא סיפק מידע אשר לאותו חבר אלמוני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ומשכך האחריות כולה להחזקת הנשק מוטלת על כתפיו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, </w:t>
      </w:r>
      <w:r>
        <w:rPr>
          <w:rtl w:val="true"/>
        </w:rPr>
        <w:t>שפוטנציאל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20"/>
        <w:ind w:hanging="360" w:start="720" w:end="0"/>
        <w:contextualSpacing/>
        <w:jc w:val="both"/>
        <w:textAlignment w:val="baseline"/>
        <w:rPr/>
      </w:pP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נמוך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בינוני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contextualSpacing/>
        <w:jc w:val="both"/>
        <w:textAlignment w:val="baseline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 w:eastAsia="David"/>
          <w:rtl w:val="true"/>
        </w:rPr>
        <w:t>על דרך הכלל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דינם של מחזיקי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לרבות אלו שעברם נקי והתקבל בעניינם תסקיר חיובי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למאסר ממש שאינו קצר</w:t>
      </w:r>
      <w:r>
        <w:rPr>
          <w:rFonts w:eastAsia="David" w:cs="David" w:ascii="David" w:hAnsi="David"/>
          <w:rtl w:val="true"/>
        </w:rPr>
        <w:t>: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720" w:end="0"/>
        <w:contextualSpacing/>
        <w:jc w:val="both"/>
        <w:rPr/>
      </w:pPr>
      <w:hyperlink r:id="rId12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2482/22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מדינת ישראל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 xml:space="preserve">קדורה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 xml:space="preserve">מיום </w:t>
      </w:r>
      <w:r>
        <w:rPr>
          <w:rFonts w:eastAsia="David" w:cs="David" w:ascii="David" w:hAnsi="David"/>
        </w:rPr>
        <w:t>14.4.2022</w:t>
      </w:r>
      <w:r>
        <w:rPr>
          <w:rFonts w:eastAsia="David" w:cs="David" w:ascii="David" w:hAnsi="David"/>
          <w:rtl w:val="true"/>
        </w:rPr>
        <w:t>) –</w:t>
      </w:r>
      <w:r>
        <w:rPr>
          <w:rFonts w:ascii="David" w:hAnsi="David" w:eastAsia="David"/>
          <w:rtl w:val="true"/>
        </w:rPr>
        <w:t>הורשע 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על פי הודאתו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בעבירת החזקת נשק בצוותא עם אחר – אקדח 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גלוק</w:t>
      </w:r>
      <w:r>
        <w:rPr>
          <w:rFonts w:eastAsia="David" w:cs="David" w:ascii="David" w:hAnsi="David"/>
          <w:rtl w:val="true"/>
        </w:rPr>
        <w:t xml:space="preserve">", </w:t>
      </w:r>
      <w:r>
        <w:rPr>
          <w:rFonts w:ascii="David" w:hAnsi="David" w:eastAsia="David"/>
          <w:rtl w:val="true"/>
        </w:rPr>
        <w:t>מחסנית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כדורים ורימון הלם אותם החזיק בביתו לתקופה קצרה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בית המשפט המחוזי קבע מתחם עונש הנע בין </w:t>
      </w:r>
      <w:r>
        <w:rPr>
          <w:rFonts w:eastAsia="David" w:cs="David" w:ascii="David" w:hAnsi="David"/>
        </w:rPr>
        <w:t>36-10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וגזר על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rtl w:val="true"/>
        </w:rPr>
        <w:t>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בן </w:t>
      </w:r>
      <w:r>
        <w:rPr>
          <w:rFonts w:eastAsia="David" w:cs="David" w:ascii="David" w:hAnsi="David"/>
        </w:rPr>
        <w:t>19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וללא הרשעות קודמות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eastAsia="David" w:cs="David" w:ascii="David" w:hAnsi="David"/>
        </w:rPr>
        <w:t>10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</w:t>
      </w:r>
      <w:r>
        <w:rPr>
          <w:rFonts w:eastAsia="David" w:cs="David" w:ascii="David" w:hAnsi="David"/>
          <w:b/>
          <w:bCs/>
          <w:rtl w:val="true"/>
        </w:rPr>
        <w:t>.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בית המשפט העליון קיבל את ערעור המדינה ו</w:t>
      </w:r>
      <w:r>
        <w:rPr>
          <w:rFonts w:ascii="David" w:hAnsi="David" w:eastAsia="David"/>
          <w:b/>
          <w:b/>
          <w:bCs/>
          <w:rtl w:val="true"/>
        </w:rPr>
        <w:t>החמיר עונשו ל</w:t>
      </w:r>
      <w:r>
        <w:rPr>
          <w:rFonts w:eastAsia="David" w:cs="David" w:ascii="David" w:hAnsi="David"/>
          <w:b/>
          <w:bCs/>
          <w:rtl w:val="true"/>
        </w:rPr>
        <w:t>-</w:t>
      </w:r>
      <w:r>
        <w:rPr>
          <w:rFonts w:eastAsia="David" w:cs="David" w:ascii="David" w:hAnsi="David"/>
          <w:b/>
          <w:bCs/>
        </w:rPr>
        <w:t>18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חודשים</w:t>
      </w:r>
      <w:r>
        <w:rPr>
          <w:rFonts w:eastAsia="David" w:cs="David" w:ascii="David" w:hAnsi="David"/>
          <w:rtl w:val="true"/>
        </w:rPr>
        <w:t>;</w:t>
      </w:r>
    </w:p>
    <w:p>
      <w:pPr>
        <w:pStyle w:val="Normal"/>
        <w:spacing w:lineRule="auto" w:line="360" w:before="0" w:after="12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720" w:end="0"/>
        <w:contextualSpacing/>
        <w:jc w:val="both"/>
        <w:rPr/>
      </w:pPr>
      <w:hyperlink r:id="rId13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2015/21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אזברגה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 xml:space="preserve">מיום </w:t>
      </w:r>
      <w:r>
        <w:rPr>
          <w:rFonts w:eastAsia="David" w:cs="David" w:ascii="David" w:hAnsi="David"/>
        </w:rPr>
        <w:t>9.12.2021</w:t>
      </w:r>
      <w:r>
        <w:rPr>
          <w:rFonts w:eastAsia="David" w:cs="David" w:ascii="David" w:hAnsi="David"/>
          <w:rtl w:val="true"/>
        </w:rPr>
        <w:t xml:space="preserve">) – </w:t>
      </w:r>
      <w:r>
        <w:rPr>
          <w:rFonts w:ascii="David" w:hAnsi="David" w:eastAsia="David"/>
          <w:rtl w:val="true"/>
        </w:rPr>
        <w:t>נדחה ערעורו של נאשם בעל עבר שאינו מכביד שהורשע בהחזקת שני אקדחים ברכבו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שירות המבחן המליץ להסתפק בעניינו בענישה שיקומית של עבודות שירות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 xml:space="preserve">נקבע בעניינו מתחם שנע בין </w:t>
      </w:r>
      <w:r>
        <w:rPr>
          <w:rFonts w:eastAsia="David" w:cs="David" w:ascii="David" w:hAnsi="David"/>
          <w:b/>
          <w:bCs/>
        </w:rPr>
        <w:t>12-36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חודשי מאסר ונגזרו עליו </w:t>
      </w:r>
      <w:r>
        <w:rPr>
          <w:rFonts w:eastAsia="David" w:cs="David" w:ascii="David" w:hAnsi="David"/>
          <w:b/>
          <w:bCs/>
        </w:rPr>
        <w:t>16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חודשי מאסר</w:t>
      </w:r>
      <w:r>
        <w:rPr>
          <w:rFonts w:eastAsia="David" w:cs="David" w:ascii="David" w:hAnsi="David"/>
          <w:b/>
          <w:bCs/>
          <w:rtl w:val="true"/>
        </w:rPr>
        <w:t>.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בית המשפט העליון התייחס בהחלטתו לשיקולי השיקום אך נתן משקל בכורה למדיניות הענישה המחמירה בעבירות נשק</w:t>
      </w:r>
      <w:r>
        <w:rPr>
          <w:rFonts w:eastAsia="David" w:cs="David" w:ascii="David" w:hAnsi="David"/>
          <w:rtl w:val="true"/>
        </w:rPr>
        <w:t>;</w:t>
      </w:r>
    </w:p>
    <w:p>
      <w:pPr>
        <w:pStyle w:val="Normal"/>
        <w:spacing w:before="0" w:after="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spacing w:before="0" w:after="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720" w:end="0"/>
        <w:contextualSpacing/>
        <w:jc w:val="both"/>
        <w:rPr/>
      </w:pP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8320/21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28.12.2021</w:t>
      </w:r>
      <w:r>
        <w:rPr>
          <w:rtl w:val="true"/>
        </w:rPr>
        <w:t xml:space="preserve"> )-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חיוביות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6-24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סולברג</w:t>
      </w:r>
      <w:r>
        <w:rPr>
          <w:rtl w:val="true"/>
        </w:rPr>
        <w:t xml:space="preserve">) </w:t>
      </w:r>
      <w:r>
        <w:rPr>
          <w:rtl w:val="true"/>
        </w:rPr>
        <w:t>פסק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tl w:val="true"/>
        </w:rPr>
        <w:t xml:space="preserve">,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</w:p>
    <w:p>
      <w:pPr>
        <w:pStyle w:val="Normal"/>
        <w:spacing w:before="0" w:after="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720" w:end="0"/>
        <w:contextualSpacing/>
        <w:jc w:val="both"/>
        <w:rPr/>
      </w:pP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1826/19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11.7.2019</w:t>
      </w:r>
      <w:r>
        <w:rPr>
          <w:rtl w:val="true"/>
        </w:rPr>
        <w:t xml:space="preserve">)-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15-36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;</w:t>
      </w:r>
    </w:p>
    <w:p>
      <w:pPr>
        <w:pStyle w:val="Normal"/>
        <w:spacing w:before="0" w:after="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spacing w:before="0" w:after="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720" w:end="0"/>
        <w:contextualSpacing/>
        <w:jc w:val="both"/>
        <w:rPr/>
      </w:pP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3288/14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קריספיל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24.8.2014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22-6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highlight w:val="yellow"/>
        </w:rPr>
      </w:pPr>
      <w:r>
        <w:rPr>
          <w:rFonts w:ascii="David" w:hAnsi="David" w:eastAsia="David"/>
          <w:rtl w:val="true"/>
        </w:rPr>
        <w:t>ההגנה הפנתה לפסיקה הכוללת מתחמי מאסר מתונים יותר ובין היתר ל</w:t>
      </w:r>
      <w:hyperlink r:id="rId17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ת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מח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מרכז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52256-03-20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מדינת ישראל י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אזברגה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12.4.22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>שבו הורשע הנאשם בהחזקת אקדח ומחסנית ריקה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נקבע מתחם הנע בין </w:t>
      </w:r>
      <w:r>
        <w:rPr>
          <w:rFonts w:eastAsia="David" w:cs="David" w:ascii="David" w:hAnsi="David"/>
        </w:rPr>
        <w:t>24-10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 מאסר וחריגה מטעמי לשיקום לעונש של תשעה חודשי עבודות שירות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לא הוגש ערעור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>ולתיקים שבהם נקבע מתחם המתחיל מ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12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 מאסר </w:t>
      </w:r>
      <w:r>
        <w:rPr>
          <w:rFonts w:eastAsia="David" w:cs="David" w:ascii="David" w:hAnsi="David"/>
          <w:rtl w:val="true"/>
        </w:rPr>
        <w:t>(</w:t>
      </w:r>
      <w:hyperlink r:id="rId18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ת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מח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י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ם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15387-01-21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מדינת ישראל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שוויקי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13.1.22</w:t>
      </w:r>
      <w:r>
        <w:rPr>
          <w:rFonts w:eastAsia="David" w:cs="David" w:ascii="David" w:hAnsi="David"/>
          <w:rtl w:val="true"/>
        </w:rPr>
        <w:t xml:space="preserve">); </w:t>
      </w:r>
      <w:hyperlink r:id="rId19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ת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מח י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ם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34694-09-21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מדינת ישראל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זהרה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26.4.22</w:t>
      </w:r>
      <w:r>
        <w:rPr>
          <w:rFonts w:eastAsia="David"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highlight w:val="yellow"/>
        </w:rPr>
      </w:pPr>
      <w:r>
        <w:rPr>
          <w:rFonts w:eastAsia="David" w:cs="David" w:ascii="David" w:hAnsi="David"/>
          <w:highlight w:val="yellow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התמונה העונשית המשתקפת בפסיקה ברורה וכוללת עונשי מאסר ממש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בבחינת  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אם מחזיקים</w:t>
      </w:r>
      <w:r>
        <w:rPr>
          <w:rFonts w:eastAsia="David" w:cs="David" w:ascii="David" w:hAnsi="David"/>
          <w:b/>
          <w:bCs/>
          <w:rtl w:val="true"/>
        </w:rPr>
        <w:t xml:space="preserve">- </w:t>
      </w:r>
      <w:r>
        <w:rPr>
          <w:rFonts w:ascii="David" w:hAnsi="David" w:eastAsia="David"/>
          <w:b/>
          <w:b/>
          <w:bCs/>
          <w:rtl w:val="true"/>
        </w:rPr>
        <w:t>למאסר נשלחים</w:t>
      </w:r>
      <w:r>
        <w:rPr>
          <w:rFonts w:eastAsia="David" w:cs="David" w:ascii="David" w:hAnsi="David"/>
          <w:rtl w:val="true"/>
        </w:rPr>
        <w:t>" (</w:t>
      </w:r>
      <w:r>
        <w:rPr>
          <w:rFonts w:ascii="David" w:hAnsi="David" w:eastAsia="David"/>
          <w:rtl w:val="true"/>
        </w:rPr>
        <w:t>כב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>השופט עמית</w:t>
      </w:r>
      <w:r>
        <w:rPr>
          <w:rFonts w:eastAsia="David" w:cs="David" w:ascii="David" w:hAnsi="David"/>
          <w:rtl w:val="true"/>
        </w:rPr>
        <w:t xml:space="preserve">, </w:t>
      </w:r>
      <w:hyperlink r:id="rId20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2482/22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מדינת ישראל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קדורה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rtl w:val="true"/>
        </w:rPr>
        <w:t>פ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</w:rPr>
        <w:t>6</w:t>
      </w:r>
      <w:r>
        <w:rPr>
          <w:rFonts w:eastAsia="David" w:cs="David" w:ascii="David" w:hAnsi="David"/>
          <w:rtl w:val="true"/>
        </w:rPr>
        <w:t xml:space="preserve"> (</w:t>
      </w:r>
      <w:r>
        <w:rPr>
          <w:rFonts w:ascii="David" w:hAnsi="David" w:eastAsia="David"/>
          <w:rtl w:val="true"/>
        </w:rPr>
        <w:t xml:space="preserve">מיום </w:t>
      </w:r>
      <w:r>
        <w:rPr>
          <w:rFonts w:eastAsia="David" w:cs="David" w:ascii="David" w:hAnsi="David"/>
        </w:rPr>
        <w:t>14.04.2022</w:t>
      </w:r>
      <w:r>
        <w:rPr>
          <w:rFonts w:eastAsia="David" w:cs="David" w:ascii="David" w:hAnsi="David"/>
          <w:rtl w:val="true"/>
        </w:rPr>
        <w:t xml:space="preserve">)).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לאחר שבחנתי את נסיבות ביצוע העבירה ומדיניות הענישה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אני קובעת מתחם ענישה שנע </w:t>
      </w:r>
      <w:r>
        <w:rPr>
          <w:rFonts w:ascii="David" w:hAnsi="David" w:eastAsia="David"/>
          <w:b/>
          <w:b/>
          <w:bCs/>
          <w:rtl w:val="true"/>
        </w:rPr>
        <w:t xml:space="preserve">בין </w:t>
      </w:r>
      <w:r>
        <w:rPr>
          <w:rFonts w:eastAsia="David" w:cs="David" w:ascii="David" w:hAnsi="David"/>
          <w:b/>
          <w:bCs/>
        </w:rPr>
        <w:t>15-30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חודשי מאסר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ענישה בדרך של עבודות שירות בגין עבירת נשק חריגה ואפשרית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אם בכלל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רק במקרי שיקום מובהקים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eastAsia="David" w:cs="David" w:ascii="David" w:hAnsi="David"/>
          <w:color w:val="000000"/>
          <w:spacing w:val="10"/>
          <w:rtl w:val="true"/>
        </w:rPr>
        <w:t>"</w:t>
      </w:r>
      <w:r>
        <w:rPr>
          <w:rFonts w:ascii="David" w:hAnsi="David" w:eastAsia="David"/>
          <w:b/>
          <w:b/>
          <w:bCs/>
          <w:color w:val="000000"/>
          <w:spacing w:val="10"/>
          <w:rtl w:val="true"/>
        </w:rPr>
        <w:t>עבירה של החזקת נשק</w:t>
      </w:r>
      <w:r>
        <w:rPr>
          <w:rFonts w:eastAsia="David" w:cs="David" w:ascii="David" w:hAnsi="David"/>
          <w:b/>
          <w:bCs/>
          <w:color w:val="000000"/>
          <w:spacing w:val="10"/>
          <w:rtl w:val="true"/>
        </w:rPr>
        <w:t xml:space="preserve">.. </w:t>
      </w:r>
      <w:r>
        <w:rPr>
          <w:rFonts w:ascii="David" w:hAnsi="David" w:eastAsia="David"/>
          <w:b/>
          <w:b/>
          <w:bCs/>
          <w:color w:val="000000"/>
          <w:spacing w:val="10"/>
          <w:rtl w:val="true"/>
        </w:rPr>
        <w:t>הינה עבירה חמורה המצדיקה ענישה במאסר מאחורי סורג ובריח ולא בדרך של עבודות שירות</w:t>
      </w:r>
      <w:r>
        <w:rPr>
          <w:rFonts w:eastAsia="David" w:cs="David" w:ascii="David" w:hAnsi="David"/>
          <w:b/>
          <w:bCs/>
          <w:color w:val="000000"/>
          <w:spacing w:val="10"/>
          <w:rtl w:val="true"/>
        </w:rPr>
        <w:t xml:space="preserve">, </w:t>
      </w:r>
      <w:r>
        <w:rPr>
          <w:rFonts w:ascii="David" w:hAnsi="David" w:eastAsia="David"/>
          <w:b/>
          <w:b/>
          <w:bCs/>
          <w:color w:val="000000"/>
          <w:spacing w:val="10"/>
          <w:rtl w:val="true"/>
        </w:rPr>
        <w:t>כאמירה ערכית</w:t>
      </w:r>
      <w:r>
        <w:rPr>
          <w:rFonts w:eastAsia="David" w:cs="David" w:ascii="David" w:hAnsi="David"/>
          <w:b/>
          <w:bCs/>
          <w:color w:val="000000"/>
          <w:spacing w:val="10"/>
          <w:rtl w:val="true"/>
        </w:rPr>
        <w:t xml:space="preserve">, </w:t>
      </w:r>
      <w:r>
        <w:rPr>
          <w:rFonts w:ascii="David" w:hAnsi="David" w:eastAsia="David"/>
          <w:b/>
          <w:b/>
          <w:bCs/>
          <w:color w:val="000000"/>
          <w:spacing w:val="10"/>
          <w:rtl w:val="true"/>
        </w:rPr>
        <w:t>וביתר שאת לאור הקלות הבלתי נסבלת של השגת נשק והחזקתו</w:t>
      </w:r>
      <w:r>
        <w:rPr>
          <w:rFonts w:eastAsia="David" w:cs="David" w:ascii="David" w:hAnsi="David"/>
          <w:b/>
          <w:bCs/>
          <w:color w:val="000000"/>
          <w:spacing w:val="10"/>
          <w:rtl w:val="true"/>
        </w:rPr>
        <w:t xml:space="preserve">, </w:t>
      </w:r>
      <w:r>
        <w:rPr>
          <w:rFonts w:ascii="David" w:hAnsi="David" w:eastAsia="David"/>
          <w:b/>
          <w:b/>
          <w:bCs/>
          <w:color w:val="000000"/>
          <w:spacing w:val="10"/>
          <w:rtl w:val="true"/>
        </w:rPr>
        <w:t>על כל הכרוך בשימוש בו</w:t>
      </w:r>
      <w:r>
        <w:rPr>
          <w:rFonts w:eastAsia="David" w:cs="David" w:ascii="David" w:hAnsi="David"/>
          <w:color w:val="000000"/>
          <w:spacing w:val="10"/>
          <w:rtl w:val="true"/>
        </w:rPr>
        <w:t>"(</w:t>
      </w:r>
      <w:r>
        <w:rPr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6265/20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אלקיעאן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15.9.2020</w:t>
      </w:r>
      <w:r>
        <w:rPr>
          <w:rtl w:val="true"/>
        </w:rPr>
        <w:t>)</w:t>
      </w:r>
      <w:r>
        <w:rPr>
          <w:rFonts w:eastAsia="David"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</w:r>
    </w:p>
    <w:p>
      <w:pPr>
        <w:pStyle w:val="ListParagraph"/>
        <w:ind w:end="0"/>
        <w:jc w:val="start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</w:r>
    </w:p>
    <w:p>
      <w:pPr>
        <w:pStyle w:val="ListParagraph"/>
        <w:ind w:end="0"/>
        <w:jc w:val="start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גזירת העונש המתאים לנאשם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הנאשם צעיר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בן למשפחה טובה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עובד לפרנסתו ובשל הסתבכותו בתיק שילם מחירים אישיים קשים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נתוניו של הנאשם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ascii="David" w:hAnsi="David" w:eastAsia="David"/>
          <w:rtl w:val="true"/>
        </w:rPr>
        <w:t xml:space="preserve">והדברים נאמרים בצער רב </w:t>
      </w:r>
      <w:r>
        <w:rPr>
          <w:rFonts w:eastAsia="David" w:cs="David" w:ascii="David" w:hAnsi="David"/>
          <w:rtl w:val="true"/>
        </w:rPr>
        <w:t>-</w:t>
      </w:r>
      <w:r>
        <w:rPr>
          <w:rFonts w:ascii="David" w:hAnsi="David" w:eastAsia="David"/>
          <w:rtl w:val="true"/>
        </w:rPr>
        <w:t>אינם שונים מנתוניהם של עברייני הנשק של השנים האחרונות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רובם צעירים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בנים למשפחות נורמטיביות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שמבצעים את העבירות על רקע צורך לשפר את תדמיתם בעיני החברה הסובבת אותם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הנשק הפך סמל סטטוס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החזקתו לנורמה שהשתרשה במגזר וזו סוחפת אחריה גם את הטובים שבבנים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  <w:sz w:val="24"/>
          <w:szCs w:val="24"/>
        </w:rPr>
      </w:pPr>
      <w:r>
        <w:rPr>
          <w:rFonts w:ascii="David" w:hAnsi="David" w:eastAsia="David" w:cs="David"/>
          <w:sz w:val="24"/>
          <w:sz w:val="24"/>
          <w:szCs w:val="24"/>
          <w:rtl w:val="true"/>
        </w:rPr>
        <w:t>שירות המבחן העריך כי הסיכון שנשקף מהנאשם נמוך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ונראה אכן כי מדובר בכשלון יחיד שהנאשם למד ממנו את לקחו ויימנע מביצוע עבירות נוספות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אלא שהמלצת התסקיר  להסתפק בענישת עבודות שירות אינה שיקומית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הנאשם אף לא עבר הליך טיפולי ומבוססת בעיקר על עברו הנקי וחששו המובן מפני שליחתו למאסר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כפי שהובהר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ענישה שיקומית בעבירות נשק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אפשרית אך רק במקרים חריגים שבחריגים ובנסיבות מיוחדות ויוצאות דופן </w:t>
      </w:r>
      <w:r>
        <w:rPr>
          <w:rFonts w:eastAsia="David" w:cs="David" w:ascii="David" w:hAnsi="David"/>
          <w:sz w:val="24"/>
          <w:szCs w:val="24"/>
          <w:rtl w:val="true"/>
        </w:rPr>
        <w:t>(</w:t>
      </w:r>
      <w:hyperlink r:id="rId22">
        <w:r>
          <w:rPr>
            <w:rStyle w:val="Hyperlink"/>
            <w:rFonts w:ascii="Times New Roman" w:hAnsi="Times New Roman" w:eastAsia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David" w:cs="David" w:ascii="Times New Roman" w:hAnsi="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David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David" w:cs="David" w:ascii="Times New Roman" w:hAnsi="Times New Roman"/>
            <w:color w:val="0000FF"/>
            <w:sz w:val="24"/>
            <w:szCs w:val="24"/>
            <w:u w:val="single"/>
          </w:rPr>
          <w:t>5807/20</w:t>
        </w:r>
      </w:hyperlink>
      <w:r>
        <w:rPr>
          <w:rFonts w:eastAsia="David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David" w:cs="David"/>
          <w:b/>
          <w:b/>
          <w:bCs/>
          <w:sz w:val="24"/>
          <w:sz w:val="24"/>
          <w:szCs w:val="24"/>
          <w:rtl w:val="true"/>
        </w:rPr>
        <w:t>מוחמד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David" w:cs="David"/>
          <w:b/>
          <w:b/>
          <w:bCs/>
          <w:sz w:val="24"/>
          <w:sz w:val="24"/>
          <w:szCs w:val="24"/>
          <w:rtl w:val="true"/>
        </w:rPr>
        <w:t>שיבלי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David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eastAsia="David" w:cs="David" w:ascii="Times New Roman" w:hAnsi="Times New Roman"/>
          <w:b/>
          <w:bCs/>
          <w:sz w:val="24"/>
          <w:szCs w:val="24"/>
          <w:rtl w:val="true"/>
        </w:rPr>
        <w:t xml:space="preserve">' </w:t>
      </w:r>
      <w:r>
        <w:rPr>
          <w:rFonts w:ascii="Times New Roman" w:hAnsi="Times New Roman" w:eastAsia="David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David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David" w:cs="David" w:ascii="Times New Roman" w:hAnsi="Times New Roman"/>
          <w:sz w:val="24"/>
          <w:szCs w:val="24"/>
          <w:rtl w:val="true"/>
        </w:rPr>
        <w:t>(</w:t>
      </w:r>
      <w:r>
        <w:rPr>
          <w:rFonts w:eastAsia="David" w:cs="David" w:ascii="Times New Roman" w:hAnsi="Times New Roman"/>
          <w:sz w:val="24"/>
          <w:szCs w:val="24"/>
        </w:rPr>
        <w:t>30.12.20</w:t>
      </w:r>
      <w:r>
        <w:rPr>
          <w:rFonts w:eastAsia="David" w:cs="David" w:ascii="Times New Roman" w:hAnsi="Times New Roman"/>
          <w:sz w:val="24"/>
          <w:szCs w:val="24"/>
          <w:rtl w:val="true"/>
        </w:rPr>
        <w:t>)),</w:t>
      </w: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המקרה שלפנינו אינו נמנה בין אלו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עוד מורה הפסיקה ליתן בעבירות אלו משקל בכורה לשיקולי ההרתעה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נוכח נסיבותיו הטובות של הנאשם אמקם עונשו בתחתית המתחם ואטיל עליו קנס מרתיע</w:t>
      </w:r>
      <w:r>
        <w:rPr>
          <w:rFonts w:eastAsia="David" w:cs="David" w:ascii="David" w:hAnsi="David"/>
          <w:rtl w:val="true"/>
        </w:rPr>
        <w:t xml:space="preserve">.  </w:t>
      </w:r>
    </w:p>
    <w:p>
      <w:pPr>
        <w:pStyle w:val="ListParagraph"/>
        <w:ind w:end="0"/>
        <w:jc w:val="start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b/>
          <w:b/>
          <w:bCs/>
          <w:rtl w:val="true"/>
        </w:rPr>
        <w:t>לאור האמור לעיל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ולאחר ששקלתי את כלל השיקולים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אני גוזרת על הנאשם את העונשים הבאים</w:t>
      </w:r>
      <w:r>
        <w:rPr>
          <w:rFonts w:eastAsia="David" w:cs="David" w:ascii="David" w:hAnsi="David"/>
          <w:b/>
          <w:bCs/>
          <w:rtl w:val="true"/>
        </w:rPr>
        <w:t xml:space="preserve">: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b/>
          <w:bCs/>
        </w:rPr>
        <w:t>15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חודשי מאסר בפועל </w:t>
      </w:r>
      <w:r>
        <w:rPr>
          <w:rFonts w:ascii="David" w:hAnsi="David" w:eastAsia="David"/>
          <w:rtl w:val="true"/>
        </w:rPr>
        <w:t xml:space="preserve">בניכוי ימי מעצרו החל מיום </w:t>
      </w:r>
      <w:r>
        <w:rPr>
          <w:rFonts w:eastAsia="David" w:cs="David" w:ascii="David" w:hAnsi="David"/>
        </w:rPr>
        <w:t>3.1.22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ועד ליום </w:t>
      </w:r>
      <w:r>
        <w:rPr>
          <w:rFonts w:eastAsia="David" w:cs="David" w:ascii="David" w:hAnsi="David"/>
        </w:rPr>
        <w:t>14.3.22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מאסר על תנאי בן </w:t>
      </w:r>
      <w:r>
        <w:rPr>
          <w:rFonts w:eastAsia="David" w:cs="David" w:ascii="David" w:hAnsi="David"/>
        </w:rPr>
        <w:t>10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חודשים לבל יעבור הנאשם עבירת נשק מסוג פשע תוך 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שנים מיום שחרורו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קנס בסך </w:t>
      </w:r>
      <w:r>
        <w:rPr>
          <w:rFonts w:eastAsia="David" w:cs="David" w:ascii="David" w:hAnsi="David"/>
        </w:rPr>
        <w:t>5,000</w:t>
      </w:r>
      <w:r>
        <w:rPr>
          <w:rFonts w:eastAsia="David" w:cs="David" w:ascii="David" w:hAnsi="David"/>
          <w:rtl w:val="true"/>
        </w:rPr>
        <w:t xml:space="preserve"> ₪ </w:t>
      </w:r>
      <w:r>
        <w:rPr>
          <w:rFonts w:ascii="David" w:hAnsi="David" w:eastAsia="David"/>
          <w:rtl w:val="true"/>
        </w:rPr>
        <w:t xml:space="preserve">או </w:t>
      </w:r>
      <w:r>
        <w:rPr>
          <w:rFonts w:eastAsia="David" w:cs="David" w:ascii="David" w:hAnsi="David"/>
        </w:rPr>
        <w:t>30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ימי מאסר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הקנס ישולם בחמישה תשלומים שווים ורצופים החל מיום </w:t>
      </w:r>
      <w:r>
        <w:rPr>
          <w:rFonts w:eastAsia="David" w:cs="David" w:ascii="David" w:hAnsi="David"/>
        </w:rPr>
        <w:t>1.4.23</w:t>
      </w:r>
      <w:r>
        <w:rPr>
          <w:rFonts w:eastAsia="David"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color w:val="FFFFFF"/>
          <w:sz w:val="2"/>
          <w:szCs w:val="2"/>
        </w:rPr>
        <w:t>5129371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הנאשם יתייצב לריצוי מאסרו ביום </w:t>
      </w:r>
      <w:r>
        <w:rPr>
          <w:rFonts w:eastAsia="David" w:cs="David" w:ascii="David" w:hAnsi="David"/>
          <w:sz w:val="24"/>
          <w:szCs w:val="24"/>
        </w:rPr>
        <w:t>6.3.23</w:t>
      </w: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עד השעה </w:t>
      </w:r>
      <w:r>
        <w:rPr>
          <w:rFonts w:eastAsia="David" w:cs="David" w:ascii="David" w:hAnsi="David"/>
          <w:sz w:val="24"/>
          <w:szCs w:val="24"/>
        </w:rPr>
        <w:t>10:00</w:t>
      </w: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בבית מעצר </w:t>
      </w:r>
      <w:r>
        <w:rPr>
          <w:rFonts w:eastAsia="David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הדרים</w:t>
      </w:r>
      <w:r>
        <w:rPr>
          <w:rFonts w:eastAsia="David" w:cs="David" w:ascii="David" w:hAnsi="David"/>
          <w:sz w:val="24"/>
          <w:szCs w:val="24"/>
          <w:rtl w:val="true"/>
        </w:rPr>
        <w:t xml:space="preserve">".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לצורך הבטחת התייצבותו יעמדו הערבויות שהופקדו בהליך המעצר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צו עיכוב יציאה מהארץ יוותר על כנו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David" w:cs="David" w:ascii="David" w:hAnsi="David"/>
          <w:color w:val="FFFFFF"/>
          <w:sz w:val="2"/>
          <w:szCs w:val="2"/>
        </w:rPr>
        <w:t>54678313</w:t>
      </w:r>
      <w:r>
        <w:rPr>
          <w:rFonts w:ascii="David" w:hAnsi="David" w:eastAsia="David"/>
          <w:rtl w:val="true"/>
        </w:rPr>
        <w:t>הנשק והתחמושת יושמדו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 w:eastAsia="David"/>
          <w:b/>
          <w:b/>
          <w:bCs/>
          <w:rtl w:val="true"/>
        </w:rPr>
        <w:t xml:space="preserve">זכות ערעור לבית המשפט העליון תוך </w:t>
      </w:r>
      <w:r>
        <w:rPr>
          <w:rFonts w:eastAsia="David" w:cs="David" w:ascii="David" w:hAnsi="David"/>
          <w:b/>
          <w:bCs/>
        </w:rPr>
        <w:t>45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יום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3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 שבט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פברואר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3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42106-01-22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עבדאללה וחידי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sz w:val="22"/>
        <w:rFonts w:ascii="David" w:hAnsi="David" w:eastAsia="Calibri" w:cs="David"/>
        <w:lang w:val="en-US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b w:val="false"/>
        <w:bCs w:val="false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</w:rPr>
  </w:style>
  <w:style w:type="character" w:styleId="WW8Num2z0">
    <w:name w:val="WW8Num2z0"/>
    <w:qFormat/>
    <w:rPr>
      <w:rFonts w:ascii="David" w:hAnsi="David" w:eastAsia="Calibri" w:cs="David"/>
      <w:sz w:val="22"/>
      <w:lang w:val="en-US"/>
    </w:rPr>
  </w:style>
  <w:style w:type="character" w:styleId="WW8Num3z0">
    <w:name w:val="WW8Num3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27894608" TargetMode="External"/><Relationship Id="rId7" Type="http://schemas.openxmlformats.org/officeDocument/2006/relationships/hyperlink" Target="http://www.nevo.co.il/case/27911638" TargetMode="External"/><Relationship Id="rId8" Type="http://schemas.openxmlformats.org/officeDocument/2006/relationships/hyperlink" Target="http://www.nevo.co.il/case/28152132" TargetMode="External"/><Relationship Id="rId9" Type="http://schemas.openxmlformats.org/officeDocument/2006/relationships/hyperlink" Target="http://www.nevo.co.il/case/28452933" TargetMode="External"/><Relationship Id="rId10" Type="http://schemas.openxmlformats.org/officeDocument/2006/relationships/hyperlink" Target="http://www.nevo.co.il/case/27305799" TargetMode="External"/><Relationship Id="rId11" Type="http://schemas.openxmlformats.org/officeDocument/2006/relationships/hyperlink" Target="http://www.nevo.co.il/case/5568354" TargetMode="External"/><Relationship Id="rId12" Type="http://schemas.openxmlformats.org/officeDocument/2006/relationships/hyperlink" Target="http://www.nevo.co.il/case/28513828" TargetMode="External"/><Relationship Id="rId13" Type="http://schemas.openxmlformats.org/officeDocument/2006/relationships/hyperlink" Target="http://www.nevo.co.il/case/27491153" TargetMode="External"/><Relationship Id="rId14" Type="http://schemas.openxmlformats.org/officeDocument/2006/relationships/hyperlink" Target="http://www.nevo.co.il/case/28152132" TargetMode="External"/><Relationship Id="rId15" Type="http://schemas.openxmlformats.org/officeDocument/2006/relationships/hyperlink" Target="http://www.nevo.co.il/case/25528737" TargetMode="External"/><Relationship Id="rId16" Type="http://schemas.openxmlformats.org/officeDocument/2006/relationships/hyperlink" Target="http://www.nevo.co.il/case/16913730" TargetMode="External"/><Relationship Id="rId17" Type="http://schemas.openxmlformats.org/officeDocument/2006/relationships/hyperlink" Target="http://www.nevo.co.il/case/26568237" TargetMode="External"/><Relationship Id="rId18" Type="http://schemas.openxmlformats.org/officeDocument/2006/relationships/hyperlink" Target="http://www.nevo.co.il/case/27311262" TargetMode="External"/><Relationship Id="rId19" Type="http://schemas.openxmlformats.org/officeDocument/2006/relationships/hyperlink" Target="http://www.nevo.co.il/case/28020685" TargetMode="External"/><Relationship Id="rId20" Type="http://schemas.openxmlformats.org/officeDocument/2006/relationships/hyperlink" Target="http://www.nevo.co.il/case/28513828" TargetMode="External"/><Relationship Id="rId21" Type="http://schemas.openxmlformats.org/officeDocument/2006/relationships/hyperlink" Target="http://www.nevo.co.il/case/26986974" TargetMode="External"/><Relationship Id="rId22" Type="http://schemas.openxmlformats.org/officeDocument/2006/relationships/hyperlink" Target="http://www.nevo.co.il/case/26934681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2024-05-05T08:32:00Z</dcterms:created>
  <dc:creator> </dc:creator>
  <dc:description/>
  <cp:keywords/>
  <dc:language>en-IL</dc:language>
  <cp:lastModifiedBy>h1</cp:lastModifiedBy>
  <dcterms:modified xsi:type="dcterms:W3CDTF">2024-05-05T08:32:00Z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עבדאללה וחידי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27894608;27911638;28152132:2;28452933;27305799;5568354;28513828:2;27491153;25528737;16913730;26568237;27311262;28020685;26986974;26934681</vt:lpwstr>
  </property>
  <property fmtid="{D5CDD505-2E9C-101B-9397-08002B2CF9AE}" pid="9" name="CITY">
    <vt:lpwstr>מרכז</vt:lpwstr>
  </property>
  <property fmtid="{D5CDD505-2E9C-101B-9397-08002B2CF9AE}" pid="10" name="DATE">
    <vt:lpwstr>20230213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מרב גרינברג</vt:lpwstr>
  </property>
  <property fmtid="{D5CDD505-2E9C-101B-9397-08002B2CF9AE}" pid="14" name="LAWLISTTMP1">
    <vt:lpwstr>70301/144.a</vt:lpwstr>
  </property>
  <property fmtid="{D5CDD505-2E9C-101B-9397-08002B2CF9AE}" pid="15" name="LAWYER">
    <vt:lpwstr>ליטל שירי;עמית שלף;שרון רבינוביץ'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42106</vt:lpwstr>
  </property>
  <property fmtid="{D5CDD505-2E9C-101B-9397-08002B2CF9AE}" pid="22" name="NEWPARTB">
    <vt:lpwstr>01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390020230213</vt:lpwstr>
  </property>
  <property fmtid="{D5CDD505-2E9C-101B-9397-08002B2CF9AE}" pid="34" name="TYPE_N_DATE">
    <vt:lpwstr>39020230213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