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8306"/>
                <w:tab w:val="center" w:pos="4153" w:leader="none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b/>
                <w:bCs/>
                <w:sz w:val="26"/>
                <w:szCs w:val="26"/>
              </w:rPr>
              <w:t>42197-05-22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אטון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4153"/>
                <w:tab w:val="right" w:pos="8306" w:leader="none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ספטמבר </w:t>
            </w:r>
            <w:r>
              <w:rPr>
                <w:b/>
                <w:bCs/>
                <w:sz w:val="26"/>
                <w:szCs w:val="26"/>
              </w:rPr>
              <w:t>2022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השופטת מרב גרינברג</w:t>
            </w:r>
            <w:r>
              <w:rPr>
                <w:rStyle w:val="TimesNewRomanTimesNewRoman"/>
                <w:bCs/>
                <w:szCs w:val="26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גולן גד אטון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sz w:val="4"/>
          <w:szCs w:val="4"/>
          <w:u w:val="none"/>
        </w:rPr>
      </w:pPr>
      <w:r>
        <w:rPr>
          <w:rFonts w:eastAsia="Times New Roman"/>
          <w:b w:val="false"/>
          <w:bCs w:val="false"/>
          <w:sz w:val="4"/>
          <w:szCs w:val="4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 –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בן אסולין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כ הנאשם 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ניר דוד  </w:t>
      </w:r>
    </w:p>
    <w:p>
      <w:pPr>
        <w:pStyle w:val="12"/>
        <w:ind w:end="0"/>
        <w:jc w:val="start"/>
        <w:rPr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הובא באמצעות שב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ס </w:t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David"/>
        <w:ind w:end="0"/>
        <w:jc w:val="both"/>
        <w:rPr>
          <w:b/>
          <w:bCs/>
          <w:sz w:val="6"/>
          <w:szCs w:val="6"/>
          <w:u w:val="none"/>
        </w:rPr>
      </w:pPr>
      <w:r>
        <w:rPr>
          <w:b/>
          <w:bCs/>
          <w:sz w:val="6"/>
          <w:szCs w:val="6"/>
          <w:u w:val="none"/>
          <w:rtl w:val="true"/>
        </w:rPr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David"/>
        <w:ind w:end="0"/>
        <w:jc w:val="center"/>
        <w:rPr>
          <w:rFonts w:ascii="Arial" w:hAnsi="Arial" w:eastAsia="Times New Roman" w:cs="Arial"/>
          <w:b/>
          <w:bCs/>
          <w:sz w:val="28"/>
          <w:szCs w:val="28"/>
          <w:u w:val="single"/>
        </w:rPr>
      </w:pPr>
      <w:bookmarkStart w:id="8" w:name="PsakDin"/>
      <w:bookmarkEnd w:id="8"/>
      <w:r>
        <w:rPr>
          <w:rFonts w:ascii="Arial" w:hAnsi="Arial" w:eastAsia="Times New Roman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David"/>
        <w:ind w:end="0"/>
        <w:jc w:val="center"/>
        <w:rPr>
          <w:rFonts w:ascii="David" w:hAnsi="David" w:eastAsia="Times New Roman" w:cs="David"/>
          <w:b/>
          <w:bCs/>
          <w:sz w:val="28"/>
          <w:szCs w:val="28"/>
          <w:u w:val="single"/>
        </w:rPr>
      </w:pPr>
      <w:r>
        <w:rPr>
          <w:rFonts w:eastAsia="Times New Roman" w:cs="David" w:ascii="David" w:hAnsi="David"/>
          <w:b/>
          <w:bCs/>
          <w:sz w:val="28"/>
          <w:szCs w:val="28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bookmarkStart w:id="11" w:name="ABSTRACT_START"/>
      <w:bookmarkEnd w:id="11"/>
      <w:r>
        <w:rPr>
          <w:rtl w:val="true"/>
        </w:rPr>
        <w:t>הנאשם הורשע</w:t>
      </w:r>
      <w:r>
        <w:rPr>
          <w:rtl w:val="true"/>
        </w:rPr>
        <w:t xml:space="preserve">, </w:t>
      </w:r>
      <w:r>
        <w:rPr>
          <w:rtl w:val="true"/>
        </w:rPr>
        <w:t>במסגרת הסדר טיעון</w:t>
      </w:r>
      <w:r>
        <w:rPr>
          <w:rtl w:val="true"/>
        </w:rPr>
        <w:t xml:space="preserve">, </w:t>
      </w:r>
      <w:r>
        <w:rPr>
          <w:rtl w:val="true"/>
        </w:rPr>
        <w:t xml:space="preserve">בעובדות כתב אישום מתוקן בעבירת </w:t>
      </w:r>
      <w:r>
        <w:rPr>
          <w:b/>
          <w:b/>
          <w:bCs/>
          <w:rtl w:val="true"/>
        </w:rPr>
        <w:t>החזקת 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אביזר נשק ותחמושת שלא 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לפי </w:t>
      </w:r>
      <w:hyperlink r:id="rId4">
        <w:r>
          <w:rPr>
            <w:rStyle w:val="Hyperlink"/>
            <w:b/>
            <w:b/>
            <w:bCs/>
            <w:rtl w:val="true"/>
          </w:rPr>
          <w:t xml:space="preserve">סעיף </w:t>
        </w:r>
        <w:r>
          <w:rPr>
            <w:rStyle w:val="Hyperlink"/>
            <w:b/>
            <w:bCs/>
          </w:rPr>
          <w:t>144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 וסיפא ל</w:t>
      </w:r>
      <w:hyperlink r:id="rId5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החוק</w:t>
      </w:r>
      <w:r>
        <w:rPr>
          <w:rtl w:val="true"/>
        </w:rPr>
        <w:t>").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bookmarkStart w:id="12" w:name="ABSTRACT_END"/>
      <w:bookmarkEnd w:id="12"/>
      <w:r>
        <w:rPr>
          <w:rtl w:val="true"/>
        </w:rPr>
        <w:t>כמפורט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עובר ליום </w:t>
      </w:r>
      <w:r>
        <w:rPr/>
        <w:t>2.5.2022</w:t>
      </w:r>
      <w:r>
        <w:rPr>
          <w:rtl w:val="true"/>
        </w:rPr>
        <w:t xml:space="preserve"> </w:t>
      </w:r>
      <w:r>
        <w:rPr>
          <w:rtl w:val="true"/>
        </w:rPr>
        <w:t>בנסיבות שאינן ידועות למאשימה במדוייק</w:t>
      </w:r>
      <w:r>
        <w:rPr>
          <w:rtl w:val="true"/>
        </w:rPr>
        <w:t xml:space="preserve">, </w:t>
      </w:r>
      <w:r>
        <w:rPr>
          <w:rtl w:val="true"/>
        </w:rPr>
        <w:t xml:space="preserve">החזיק הנאשם אקדח מסוג </w:t>
      </w:r>
      <w:r>
        <w:rPr>
          <w:rtl w:val="true"/>
        </w:rPr>
        <w:t>"</w:t>
      </w:r>
      <w:r>
        <w:rPr>
          <w:rtl w:val="true"/>
        </w:rPr>
        <w:t>ברטה</w:t>
      </w:r>
      <w:r>
        <w:rPr>
          <w:rtl w:val="true"/>
        </w:rPr>
        <w:t xml:space="preserve">" </w:t>
      </w:r>
      <w:r>
        <w:rPr>
          <w:rtl w:val="true"/>
        </w:rPr>
        <w:t>טעון במחסנית המכילה תחמושת תואמת</w:t>
      </w:r>
      <w:r>
        <w:rPr>
          <w:rtl w:val="true"/>
        </w:rPr>
        <w:t xml:space="preserve">, </w:t>
      </w:r>
      <w:r>
        <w:rPr>
          <w:rtl w:val="true"/>
        </w:rPr>
        <w:t>כשהוא מוסלק מתחת למכולה בשטח המשק בו מתגורר במושב נווה ימין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ביום </w:t>
      </w:r>
      <w:r>
        <w:rPr/>
        <w:t>09.08.2022</w:t>
      </w:r>
      <w:r>
        <w:rPr>
          <w:rtl w:val="true"/>
        </w:rPr>
        <w:t xml:space="preserve"> </w:t>
      </w:r>
      <w:r>
        <w:rPr>
          <w:rtl w:val="true"/>
        </w:rPr>
        <w:t>הציגו הצדדים הסדר טיעון</w:t>
      </w:r>
      <w:r>
        <w:rPr>
          <w:rtl w:val="true"/>
        </w:rPr>
        <w:t xml:space="preserve">, </w:t>
      </w:r>
      <w:r>
        <w:rPr>
          <w:rtl w:val="true"/>
        </w:rPr>
        <w:t>לפיו הנאשם יודה ויורשע בעובדות כתב אישום מתוקן</w:t>
      </w:r>
      <w:r>
        <w:rPr>
          <w:rtl w:val="true"/>
        </w:rPr>
        <w:t xml:space="preserve">, </w:t>
      </w:r>
      <w:r>
        <w:rPr>
          <w:rtl w:val="true"/>
        </w:rPr>
        <w:t>והצדדים יטענו באופן חופשי לעונש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תמצית הטיעונים לעונש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א</w:t>
      </w:r>
      <w:r>
        <w:rPr>
          <w:rtl w:val="true"/>
        </w:rPr>
        <w:t xml:space="preserve">. </w:t>
      </w:r>
      <w:r>
        <w:rPr>
          <w:rtl w:val="true"/>
        </w:rPr>
        <w:t>אשכנזי</w:t>
      </w:r>
      <w:r>
        <w:rPr>
          <w:rtl w:val="true"/>
        </w:rPr>
        <w:t xml:space="preserve">, </w:t>
      </w:r>
      <w:r>
        <w:rPr>
          <w:rtl w:val="true"/>
        </w:rPr>
        <w:t xml:space="preserve">עמד בטיעוניו על חומרת עבירות הנשק שהן בבחינת </w:t>
      </w:r>
      <w:r>
        <w:rPr>
          <w:rtl w:val="true"/>
        </w:rPr>
        <w:t>"</w:t>
      </w:r>
      <w:r>
        <w:rPr>
          <w:rtl w:val="true"/>
        </w:rPr>
        <w:t>מכת מדינה</w:t>
      </w:r>
      <w:r>
        <w:rPr>
          <w:rtl w:val="true"/>
        </w:rPr>
        <w:t xml:space="preserve">", </w:t>
      </w:r>
      <w:r>
        <w:rPr>
          <w:rtl w:val="true"/>
        </w:rPr>
        <w:t>הערכים המוגנים שנפגעו ופוטנציאל הנזק שעלול היה להיגרם מהחזקת נשק בלתי חוקי</w:t>
      </w:r>
      <w:r>
        <w:rPr>
          <w:rtl w:val="true"/>
        </w:rPr>
        <w:t xml:space="preserve">. </w:t>
      </w:r>
      <w:r>
        <w:rPr>
          <w:rtl w:val="true"/>
        </w:rPr>
        <w:t>עוד הדגיש לחומרה את העובדה שהאקדח נתפס כשהוא טעון במחסנית שהכילה תחמושת</w:t>
      </w:r>
      <w:r>
        <w:rPr>
          <w:rtl w:val="true"/>
        </w:rPr>
        <w:t xml:space="preserve">. </w:t>
      </w:r>
      <w:r>
        <w:rPr>
          <w:rtl w:val="true"/>
        </w:rPr>
        <w:t>באשר למדיניות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עמד ב</w:t>
      </w:r>
      <w:r>
        <w:rPr>
          <w:rtl w:val="true"/>
        </w:rPr>
        <w:t>"</w:t>
      </w:r>
      <w:r>
        <w:rPr>
          <w:rtl w:val="true"/>
        </w:rPr>
        <w:t>כ המאשימה על מגמת ההחמרה בענישה בעבירות נשק</w:t>
      </w:r>
      <w:r>
        <w:rPr>
          <w:rtl w:val="true"/>
        </w:rPr>
        <w:t xml:space="preserve">, </w:t>
      </w:r>
      <w:r>
        <w:rPr>
          <w:rtl w:val="true"/>
        </w:rPr>
        <w:t>ועל הוראת השעה</w:t>
      </w:r>
      <w:r>
        <w:rPr>
          <w:rtl w:val="true"/>
        </w:rPr>
        <w:t xml:space="preserve">, </w:t>
      </w:r>
      <w:r>
        <w:rPr>
          <w:rtl w:val="true"/>
        </w:rPr>
        <w:t>החלה בענייננו</w:t>
      </w:r>
      <w:r>
        <w:rPr>
          <w:rtl w:val="true"/>
        </w:rPr>
        <w:t xml:space="preserve">, </w:t>
      </w:r>
      <w:r>
        <w:rPr>
          <w:rtl w:val="true"/>
        </w:rPr>
        <w:t>בה נקבעו עונשי מינימום לעבירות אלו</w:t>
      </w:r>
      <w:r>
        <w:rPr>
          <w:rtl w:val="true"/>
        </w:rPr>
        <w:t xml:space="preserve">, </w:t>
      </w:r>
      <w:r>
        <w:rPr>
          <w:rtl w:val="true"/>
        </w:rPr>
        <w:t>כביטוי לרצון המחוקק להיאבק בתופעה</w:t>
      </w:r>
      <w:r>
        <w:rPr>
          <w:rtl w:val="true"/>
        </w:rPr>
        <w:t xml:space="preserve">. </w:t>
      </w:r>
      <w:r>
        <w:rPr>
          <w:rtl w:val="true"/>
        </w:rPr>
        <w:t xml:space="preserve">המאשימה עתרה למתחם ענישה שנע בין </w:t>
      </w:r>
      <w:r>
        <w:rPr/>
        <w:t>18-36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באשר לנסיבות הנאשם</w:t>
      </w:r>
      <w:r>
        <w:rPr>
          <w:rtl w:val="true"/>
        </w:rPr>
        <w:t xml:space="preserve">, </w:t>
      </w:r>
      <w:r>
        <w:rPr>
          <w:rtl w:val="true"/>
        </w:rPr>
        <w:t xml:space="preserve">הפנה לעברו הפלילי הכולל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הרשעות קודמות וישנות בגינן אף ריצה מאסר בפועל ומאסר נוסף בדרך של עבודות שירות</w:t>
      </w:r>
      <w:r>
        <w:rPr>
          <w:rtl w:val="true"/>
        </w:rPr>
        <w:t xml:space="preserve">. </w:t>
      </w:r>
      <w:r>
        <w:rPr>
          <w:rtl w:val="true"/>
        </w:rPr>
        <w:t xml:space="preserve">בנסיבות אלו עתר למקם את עונשו בחלק התחתון של מתחם הענישה ולגזור עליו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 לצד ענישה נלווית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נ</w:t>
      </w:r>
      <w:r>
        <w:rPr>
          <w:rtl w:val="true"/>
        </w:rPr>
        <w:t xml:space="preserve">. </w:t>
      </w:r>
      <w:r>
        <w:rPr>
          <w:rtl w:val="true"/>
        </w:rPr>
        <w:t>דוד</w:t>
      </w:r>
      <w:r>
        <w:rPr>
          <w:rtl w:val="true"/>
        </w:rPr>
        <w:t xml:space="preserve">, </w:t>
      </w:r>
      <w:r>
        <w:rPr>
          <w:rtl w:val="true"/>
        </w:rPr>
        <w:t>הפנה לתיקון כתב האישום לקולא ולכך שמדובר בעבירה שבסמכות בית משפט שלום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עתירת המאשימה מחמירה ואינה משקפת את נסיבות הנאשם ומעשיו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סבור</w:t>
      </w:r>
      <w:r>
        <w:rPr>
          <w:rtl w:val="true"/>
        </w:rPr>
        <w:t xml:space="preserve">, </w:t>
      </w:r>
      <w:r>
        <w:rPr>
          <w:rtl w:val="true"/>
        </w:rPr>
        <w:t>כי בנסיבותיו העמומות של כתב האישום יש כדי להקל עם הנאשם</w:t>
      </w:r>
      <w:r>
        <w:rPr>
          <w:rtl w:val="true"/>
        </w:rPr>
        <w:t xml:space="preserve">, </w:t>
      </w:r>
      <w:r>
        <w:rPr>
          <w:rtl w:val="true"/>
        </w:rPr>
        <w:t>כך אפשר שהנשק הוחזק במקום שנים רבות ללא שימוש בו וכן לא ידוע מה כמות התחמושת שהוחזקה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שהנשק נמצא במשקו של הנאשם</w:t>
      </w:r>
      <w:r>
        <w:rPr>
          <w:rtl w:val="true"/>
        </w:rPr>
        <w:t xml:space="preserve">, </w:t>
      </w:r>
      <w:r>
        <w:rPr>
          <w:rtl w:val="true"/>
        </w:rPr>
        <w:t>מוחבא וללא נגישות מיידית אליו</w:t>
      </w:r>
      <w:r>
        <w:rPr>
          <w:rtl w:val="true"/>
        </w:rPr>
        <w:t xml:space="preserve">. </w:t>
      </w:r>
      <w:r>
        <w:rPr>
          <w:rtl w:val="true"/>
        </w:rPr>
        <w:t>באשר למגמת ההחמרה בענישת מחזיקי נשק לא חוקי</w:t>
      </w:r>
      <w:r>
        <w:rPr>
          <w:rtl w:val="true"/>
        </w:rPr>
        <w:t xml:space="preserve">, </w:t>
      </w:r>
      <w:r>
        <w:rPr>
          <w:rtl w:val="true"/>
        </w:rPr>
        <w:t>נטען כי נסיבות המקרה שונות ומאפשרות חריגה ממגמה זו</w:t>
      </w:r>
      <w:r>
        <w:rPr>
          <w:rtl w:val="true"/>
        </w:rPr>
        <w:t xml:space="preserve">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דוד עמד על השינוי החיובי באורח חייו של הנאשם בעשור האחרון</w:t>
      </w:r>
      <w:r>
        <w:rPr>
          <w:rtl w:val="true"/>
        </w:rPr>
        <w:t xml:space="preserve">, </w:t>
      </w:r>
      <w:r>
        <w:rPr>
          <w:rtl w:val="true"/>
        </w:rPr>
        <w:t>הנאשם התחזק והחל לקיים מצוות ועובד כחקלאי</w:t>
      </w:r>
      <w:r>
        <w:rPr>
          <w:rtl w:val="true"/>
        </w:rPr>
        <w:t xml:space="preserve">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>ביקש להסתפק בענישה קלה של מאסר קצר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בדיון ביום </w:t>
      </w:r>
      <w:r>
        <w:rPr/>
        <w:t>5.7.22</w:t>
      </w:r>
      <w:r>
        <w:rPr>
          <w:rtl w:val="true"/>
        </w:rPr>
        <w:t xml:space="preserve">, </w:t>
      </w:r>
      <w:r>
        <w:rPr>
          <w:rtl w:val="true"/>
        </w:rPr>
        <w:t>העידו מטעם הנאשם עדי האופי</w:t>
      </w:r>
      <w:r>
        <w:rPr>
          <w:rtl w:val="true"/>
        </w:rPr>
        <w:t xml:space="preserve">, </w:t>
      </w:r>
      <w:r>
        <w:rPr>
          <w:rtl w:val="true"/>
        </w:rPr>
        <w:t>מר יאיר משעלי</w:t>
      </w:r>
      <w:r>
        <w:rPr>
          <w:rtl w:val="true"/>
        </w:rPr>
        <w:t xml:space="preserve">, </w:t>
      </w:r>
      <w:r>
        <w:rPr>
          <w:rtl w:val="true"/>
        </w:rPr>
        <w:t>רב המושב בו מתגורר וגרושתו של הנאשם</w:t>
      </w:r>
      <w:r>
        <w:rPr>
          <w:rtl w:val="true"/>
        </w:rPr>
        <w:t xml:space="preserve">. </w:t>
      </w:r>
      <w:r>
        <w:rPr>
          <w:rtl w:val="true"/>
        </w:rPr>
        <w:t>הרב משעלי סיפר כי בשנים האחרונות</w:t>
      </w:r>
      <w:r>
        <w:rPr>
          <w:rtl w:val="true"/>
        </w:rPr>
        <w:t xml:space="preserve">, </w:t>
      </w:r>
      <w:r>
        <w:rPr>
          <w:rtl w:val="true"/>
        </w:rPr>
        <w:t>הנאשם עבר תהליך של חזרה בתשובה</w:t>
      </w:r>
      <w:r>
        <w:rPr>
          <w:rtl w:val="true"/>
        </w:rPr>
        <w:t xml:space="preserve">, </w:t>
      </w:r>
      <w:r>
        <w:rPr>
          <w:rtl w:val="true"/>
        </w:rPr>
        <w:t>מתמיד בלימודי התורה</w:t>
      </w:r>
      <w:r>
        <w:rPr>
          <w:rtl w:val="true"/>
        </w:rPr>
        <w:t xml:space="preserve">, </w:t>
      </w:r>
      <w:r>
        <w:rPr>
          <w:rtl w:val="true"/>
        </w:rPr>
        <w:t>עוזר לזולת ועושה מאמץ לתקן את דרכיו</w:t>
      </w:r>
      <w:r>
        <w:rPr>
          <w:rtl w:val="true"/>
        </w:rPr>
        <w:t xml:space="preserve">.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אושרת בסון</w:t>
      </w:r>
      <w:r>
        <w:rPr>
          <w:rtl w:val="true"/>
        </w:rPr>
        <w:t xml:space="preserve">, </w:t>
      </w:r>
      <w:r>
        <w:rPr>
          <w:rtl w:val="true"/>
        </w:rPr>
        <w:t>גרושתו של הנאשם ואם שלושת ילדיו סיפרה</w:t>
      </w:r>
      <w:r>
        <w:rPr>
          <w:rtl w:val="true"/>
        </w:rPr>
        <w:t xml:space="preserve">, </w:t>
      </w:r>
      <w:r>
        <w:rPr>
          <w:rtl w:val="true"/>
        </w:rPr>
        <w:t xml:space="preserve">שהתגרשו לפני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 על רקע חזרתו בתשובה אך נותרו חברים טובים</w:t>
      </w:r>
      <w:r>
        <w:rPr>
          <w:rtl w:val="true"/>
        </w:rPr>
        <w:t xml:space="preserve">. </w:t>
      </w:r>
      <w:r>
        <w:rPr>
          <w:rtl w:val="true"/>
        </w:rPr>
        <w:t>עוד הוסיפה שהנאשם מסייע לה בגידול הילדים שקשורים אליו מאד וביקשה להתחשב בעונשו</w:t>
      </w:r>
      <w:r>
        <w:rPr>
          <w:rtl w:val="true"/>
        </w:rPr>
        <w:t xml:space="preserve">. 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הנאשם בדברו האחרון</w:t>
      </w:r>
      <w:r>
        <w:rPr>
          <w:rtl w:val="true"/>
        </w:rPr>
        <w:t xml:space="preserve"> הודה שטעה</w:t>
      </w:r>
      <w:r>
        <w:rPr>
          <w:rtl w:val="true"/>
        </w:rPr>
        <w:t xml:space="preserve">, </w:t>
      </w:r>
      <w:r>
        <w:rPr>
          <w:rtl w:val="true"/>
        </w:rPr>
        <w:t>הביע חרטה וטען שמדובר בנשק שנשכח במשך שנים מתחת למכולה</w:t>
      </w:r>
      <w:r>
        <w:rPr>
          <w:rtl w:val="true"/>
        </w:rPr>
        <w:t xml:space="preserve">. </w:t>
      </w:r>
      <w:r>
        <w:rPr>
          <w:rtl w:val="true"/>
        </w:rPr>
        <w:t xml:space="preserve">עוד סיפר שמשמש בבית המעצר כעציר </w:t>
      </w:r>
      <w:r>
        <w:rPr>
          <w:rtl w:val="true"/>
        </w:rPr>
        <w:t>"</w:t>
      </w:r>
      <w:r>
        <w:rPr>
          <w:rtl w:val="true"/>
        </w:rPr>
        <w:t>תומך</w:t>
      </w:r>
      <w:r>
        <w:rPr>
          <w:rtl w:val="true"/>
        </w:rPr>
        <w:t xml:space="preserve">" </w:t>
      </w:r>
      <w:r>
        <w:rPr>
          <w:rtl w:val="true"/>
        </w:rPr>
        <w:t>ולאחר שחזר בתשובה</w:t>
      </w:r>
      <w:r>
        <w:rPr>
          <w:rtl w:val="true"/>
        </w:rPr>
        <w:t xml:space="preserve">, </w:t>
      </w:r>
      <w:r>
        <w:rPr>
          <w:rtl w:val="true"/>
        </w:rPr>
        <w:t>מקיים אורח חיים דתי ולומד בכולל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 והכרעה</w:t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 העונש ההולם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 xml:space="preserve">על ההליך שבפני חלים עקרונות הבניית שיקול הדעת השיפוטי בענישה בהתאם להוראות תיקון </w:t>
      </w:r>
      <w:r>
        <w:rPr>
          <w:rFonts w:cs="Times New Roman" w:ascii="Times New Roman" w:hAnsi="Times New Roman"/>
        </w:rPr>
        <w:t>113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לחוק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פ הוראות אלו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העיקרון המנחה בענישה הינו עקרון ההלימה שפירושו קיומו של יחס הולם בין חומרת מעשה העבירה בנסיבותיו ובמידת אשמו של הנאשם ובין סוג ומידת העונש המוטל עליו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בדרכו של עקרון זה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על בית המשפט לקבוע מתחם עונש הולם למעשה העבירה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תוך שהוא מתחשב בערך החברתי המוגן שנפגע ומידת הפגיעה בו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במדיניות הענישה הנהוגה ובנסיבותיה הקונקרטיות של העבירה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בשלב הבא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לאחר שנקבע מתחם העונש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ובית המשפט לא מצא מקום לחרוג ממנו לקולא או לחומרא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נקבע העונש הראוי תוך התחשבות בנסיבות העושה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360" w:start="720" w:end="0"/>
        <w:contextualSpacing/>
        <w:jc w:val="both"/>
        <w:rPr/>
      </w:pPr>
      <w:r>
        <w:rPr>
          <w:color w:val="000000"/>
          <w:spacing w:val="10"/>
          <w:rtl w:val="true"/>
        </w:rPr>
        <w:t>עבירות הנשק הפכו זה מכבר למכת מדינה</w:t>
      </w:r>
      <w:r>
        <w:rPr>
          <w:rtl w:val="true"/>
        </w:rPr>
        <w:t xml:space="preserve"> ומגלמות סכנה ממשית לשלום הציבור ולביטחונו</w:t>
      </w:r>
      <w:r>
        <w:rPr>
          <w:color w:val="000000"/>
          <w:spacing w:val="10"/>
          <w:rtl w:val="true"/>
        </w:rPr>
        <w:t xml:space="preserve">. </w:t>
      </w:r>
      <w:r>
        <w:rPr>
          <w:color w:val="000000"/>
          <w:spacing w:val="10"/>
          <w:rtl w:val="true"/>
        </w:rPr>
        <w:t>חומרתן היתרה של עבירות אלה</w:t>
      </w:r>
      <w:r>
        <w:rPr>
          <w:rtl w:val="true"/>
        </w:rPr>
        <w:t xml:space="preserve"> אינה מתמצה אך בעבירות גופן</w:t>
      </w:r>
      <w:r>
        <w:rPr>
          <w:rtl w:val="true"/>
        </w:rPr>
        <w:t xml:space="preserve">, </w:t>
      </w:r>
      <w:r>
        <w:rPr>
          <w:rtl w:val="true"/>
        </w:rPr>
        <w:t>אלא בפוטנציאל הנזק הנובע מהן</w:t>
      </w:r>
      <w:r>
        <w:rPr>
          <w:color w:val="000000"/>
          <w:spacing w:val="10"/>
          <w:rtl w:val="true"/>
        </w:rPr>
        <w:t xml:space="preserve">. </w:t>
      </w:r>
      <w:r>
        <w:rPr>
          <w:color w:val="000000"/>
          <w:spacing w:val="10"/>
          <w:rtl w:val="true"/>
        </w:rPr>
        <w:t>פגיעתן הקשה והשפעתן על תחושת הביטחון של כלל אזרחי המדינה</w:t>
      </w:r>
      <w:r>
        <w:rPr>
          <w:color w:val="000000"/>
          <w:spacing w:val="10"/>
          <w:rtl w:val="true"/>
        </w:rPr>
        <w:t xml:space="preserve">, </w:t>
      </w:r>
      <w:r>
        <w:rPr>
          <w:color w:val="000000"/>
          <w:spacing w:val="10"/>
          <w:rtl w:val="true"/>
        </w:rPr>
        <w:t>זכו להתייחסות נרחבת בפסקי דין רבים של בית משפט העליון</w:t>
      </w:r>
      <w:r>
        <w:rPr>
          <w:color w:val="000000"/>
          <w:spacing w:val="10"/>
          <w:rtl w:val="true"/>
        </w:rPr>
        <w:t xml:space="preserve">. </w:t>
      </w:r>
      <w:r>
        <w:rPr>
          <w:rtl w:val="true"/>
        </w:rPr>
        <w:t>מגמת הפסיקה בשנים האחרונות מלמדת על החמרה בענישה לצורך מיגור עבירות אלו</w:t>
      </w:r>
      <w:r>
        <w:rPr>
          <w:rtl w:val="true"/>
        </w:rPr>
        <w:t xml:space="preserve">, </w:t>
      </w:r>
      <w:r>
        <w:rPr>
          <w:rtl w:val="true"/>
        </w:rPr>
        <w:t>תוך מתן משקל לשיקולי הרתעה</w:t>
      </w:r>
      <w:r>
        <w:rPr>
          <w:rtl w:val="true"/>
        </w:rPr>
        <w:t xml:space="preserve">. </w:t>
      </w:r>
      <w:r>
        <w:rPr>
          <w:rtl w:val="true"/>
        </w:rPr>
        <w:t>מגמה זו אחידה ועיקבית ביחס לכלל עברייני הנשק</w:t>
      </w:r>
      <w:r>
        <w:rPr>
          <w:rtl w:val="true"/>
        </w:rPr>
        <w:t xml:space="preserve">, </w:t>
      </w:r>
      <w:r>
        <w:rPr>
          <w:rtl w:val="true"/>
        </w:rPr>
        <w:t>אף כשהם נעדרי עבר פלילי</w:t>
      </w:r>
      <w:r>
        <w:rPr>
          <w:rtl w:val="true"/>
        </w:rPr>
        <w:t xml:space="preserve">, </w:t>
      </w:r>
      <w:r>
        <w:rPr>
          <w:rtl w:val="true"/>
        </w:rPr>
        <w:t xml:space="preserve">והאירוע הוא בגדר חריג בנוף חייהם הנורמטיבי </w:t>
      </w:r>
      <w:r>
        <w:rPr>
          <w:rtl w:val="true"/>
        </w:rPr>
        <w:t>(</w:t>
      </w:r>
      <w:hyperlink r:id="rId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5813/21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 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14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31.5.2022</w:t>
      </w:r>
      <w:r>
        <w:rPr>
          <w:rtl w:val="true"/>
        </w:rPr>
        <w:t xml:space="preserve">); </w:t>
      </w:r>
      <w:r>
        <w:rPr>
          <w:rtl w:val="true"/>
        </w:rPr>
        <w:t>ב</w:t>
      </w:r>
      <w:hyperlink r:id="rId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6011/21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חאלד דסוקי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מדנית ישראל</w:t>
      </w:r>
      <w:r>
        <w:rPr>
          <w:rtl w:val="true"/>
        </w:rPr>
        <w:t xml:space="preserve">  </w:t>
      </w:r>
      <w:r>
        <w:rPr>
          <w:rtl w:val="true"/>
        </w:rPr>
        <w:t>(</w:t>
      </w:r>
      <w:r>
        <w:rPr/>
        <w:t>25.11.2021</w:t>
      </w:r>
      <w:r>
        <w:rPr>
          <w:rtl w:val="true"/>
        </w:rPr>
        <w:t xml:space="preserve">); </w:t>
      </w:r>
      <w:hyperlink r:id="rId8"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</w:rPr>
          <w:t>8320/21</w:t>
        </w:r>
      </w:hyperlink>
      <w:r>
        <w:rPr>
          <w:spacing w:val="1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מדינת ישראל נ</w:t>
      </w:r>
      <w:r>
        <w:rPr>
          <w:b/>
          <w:bCs/>
          <w:spacing w:val="10"/>
          <w:sz w:val="20"/>
          <w:shd w:fill="FFFFFF" w:val="clear"/>
          <w:rtl w:val="true"/>
        </w:rPr>
        <w:t xml:space="preserve">'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מחמד בסילה</w:t>
      </w:r>
      <w:r>
        <w:rPr>
          <w:spacing w:val="10"/>
          <w:sz w:val="20"/>
          <w:shd w:fill="FFFFFF" w:val="clear"/>
          <w:rtl w:val="true"/>
        </w:rPr>
        <w:t xml:space="preserve">, </w:t>
      </w:r>
      <w:r>
        <w:rPr>
          <w:spacing w:val="10"/>
          <w:sz w:val="20"/>
          <w:sz w:val="20"/>
          <w:shd w:fill="FFFFFF" w:val="clear"/>
          <w:rtl w:val="true"/>
        </w:rPr>
        <w:t>פס</w:t>
      </w:r>
      <w:r>
        <w:rPr>
          <w:spacing w:val="10"/>
          <w:sz w:val="20"/>
          <w:shd w:fill="FFFFFF" w:val="clear"/>
          <w:rtl w:val="true"/>
        </w:rPr>
        <w:t xml:space="preserve">' </w:t>
      </w:r>
      <w:r>
        <w:rPr>
          <w:spacing w:val="10"/>
          <w:sz w:val="20"/>
          <w:shd w:fill="FFFFFF" w:val="clear"/>
        </w:rPr>
        <w:t>10</w:t>
      </w:r>
      <w:r>
        <w:rPr>
          <w:spacing w:val="10"/>
          <w:sz w:val="20"/>
          <w:shd w:fill="FFFFFF" w:val="clear"/>
          <w:rtl w:val="true"/>
        </w:rPr>
        <w:t xml:space="preserve"> (</w:t>
      </w:r>
      <w:r>
        <w:rPr>
          <w:spacing w:val="10"/>
          <w:sz w:val="20"/>
          <w:shd w:fill="FFFFFF" w:val="clear"/>
        </w:rPr>
        <w:t>28.12.2021</w:t>
      </w:r>
      <w:r>
        <w:rPr>
          <w:spacing w:val="10"/>
          <w:sz w:val="20"/>
          <w:shd w:fill="FFFFFF" w:val="clear"/>
          <w:rtl w:val="true"/>
        </w:rPr>
        <w:t>)</w:t>
      </w:r>
      <w:r>
        <w:rPr>
          <w:rtl w:val="true"/>
        </w:rPr>
        <w:t xml:space="preserve">; 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2283/22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 נבארי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31.7.2022</w:t>
      </w:r>
      <w:r>
        <w:rPr>
          <w:rtl w:val="true"/>
        </w:rPr>
        <w:t xml:space="preserve">); 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78/21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26.7.2022</w:t>
      </w:r>
      <w:r>
        <w:rPr>
          <w:rtl w:val="true"/>
        </w:rPr>
        <w:t xml:space="preserve">); 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116/13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וקנין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 (</w:t>
      </w:r>
      <w:r>
        <w:rPr/>
        <w:t>31.7.2013</w:t>
      </w:r>
      <w:r>
        <w:rPr>
          <w:rtl w:val="true"/>
        </w:rPr>
        <w:t xml:space="preserve">)).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color w:val="000000"/>
          <w:spacing w:val="10"/>
          <w:rtl w:val="true"/>
        </w:rPr>
        <w:t>זו קיבלה ביטוי גם בחקיקה</w:t>
      </w:r>
      <w:r>
        <w:rPr>
          <w:color w:val="000000"/>
          <w:spacing w:val="10"/>
          <w:rtl w:val="true"/>
        </w:rPr>
        <w:t xml:space="preserve">, </w:t>
      </w:r>
      <w:r>
        <w:rPr>
          <w:color w:val="000000"/>
          <w:spacing w:val="10"/>
          <w:rtl w:val="true"/>
        </w:rPr>
        <w:t xml:space="preserve">במסגרת תיקון </w:t>
      </w:r>
      <w:r>
        <w:rPr>
          <w:color w:val="000000"/>
          <w:spacing w:val="10"/>
        </w:rPr>
        <w:t>140</w:t>
      </w:r>
      <w:r>
        <w:rPr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 xml:space="preserve">לחוק שנכנס לתוקף ביום </w:t>
      </w:r>
      <w:r>
        <w:rPr>
          <w:color w:val="000000"/>
          <w:spacing w:val="10"/>
        </w:rPr>
        <w:t>8.12.21</w:t>
      </w:r>
      <w:r>
        <w:rPr>
          <w:color w:val="000000"/>
          <w:spacing w:val="10"/>
          <w:rtl w:val="true"/>
        </w:rPr>
        <w:t xml:space="preserve">, </w:t>
      </w:r>
      <w:r>
        <w:rPr>
          <w:color w:val="000000"/>
          <w:spacing w:val="10"/>
          <w:rtl w:val="true"/>
        </w:rPr>
        <w:t>בו נקבעו עונשי מינימום לעבירות נשק באשר הן</w:t>
      </w:r>
      <w:r>
        <w:rPr>
          <w:color w:val="000000"/>
          <w:spacing w:val="10"/>
          <w:rtl w:val="true"/>
        </w:rPr>
        <w:t xml:space="preserve">, </w:t>
      </w:r>
      <w:r>
        <w:rPr>
          <w:color w:val="000000"/>
          <w:spacing w:val="10"/>
          <w:rtl w:val="true"/>
        </w:rPr>
        <w:t>באופן שככלל</w:t>
      </w:r>
      <w:r>
        <w:rPr>
          <w:color w:val="000000"/>
          <w:spacing w:val="10"/>
          <w:rtl w:val="true"/>
        </w:rPr>
        <w:t xml:space="preserve">, </w:t>
      </w:r>
      <w:r>
        <w:rPr>
          <w:color w:val="000000"/>
          <w:spacing w:val="10"/>
          <w:rtl w:val="true"/>
        </w:rPr>
        <w:t>העונש שיושת בגין עבירות אלו</w:t>
      </w:r>
      <w:r>
        <w:rPr>
          <w:color w:val="000000"/>
          <w:spacing w:val="10"/>
          <w:rtl w:val="true"/>
        </w:rPr>
        <w:t xml:space="preserve">, </w:t>
      </w:r>
      <w:r>
        <w:rPr>
          <w:color w:val="000000"/>
          <w:spacing w:val="10"/>
          <w:rtl w:val="true"/>
        </w:rPr>
        <w:t>לא יפחת מרבע העונש המרבי שנקבע לעבירה</w:t>
      </w:r>
      <w:r>
        <w:rPr>
          <w:color w:val="000000"/>
          <w:spacing w:val="10"/>
          <w:rtl w:val="true"/>
        </w:rPr>
        <w:t xml:space="preserve">. 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ind w:end="0"/>
        <w:jc w:val="start"/>
        <w:rPr/>
      </w:pPr>
      <w:r>
        <w:rPr>
          <w:rtl w:val="true"/>
        </w:rPr>
        <w:t>עמד על כך כב</w:t>
      </w:r>
      <w:r>
        <w:rPr>
          <w:rtl w:val="true"/>
        </w:rPr>
        <w:t xml:space="preserve">' </w:t>
      </w:r>
      <w:r>
        <w:rPr>
          <w:rtl w:val="true"/>
        </w:rPr>
        <w:t>השופט קרא ב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6496/21</w:t>
        </w:r>
      </w:hyperlink>
      <w:r>
        <w:rPr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ריאן נגד מדינת ישראל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</w:rPr>
        <w:t>20.12.21</w:t>
      </w:r>
      <w:r>
        <w:rPr>
          <w:color w:val="000000"/>
          <w:rtl w:val="true"/>
        </w:rPr>
        <w:t>]:</w:t>
      </w:r>
    </w:p>
    <w:p>
      <w:pPr>
        <w:pStyle w:val="ListParagraph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1440" w:end="1418"/>
        <w:jc w:val="both"/>
        <w:rPr/>
      </w:pPr>
      <w:r>
        <w:rPr>
          <w:color w:val="000000"/>
          <w:sz w:val="27"/>
          <w:szCs w:val="27"/>
          <w:rtl w:val="true"/>
        </w:rPr>
        <w:t>"</w:t>
      </w:r>
      <w:r>
        <w:rPr>
          <w:b/>
          <w:b/>
          <w:bCs/>
          <w:color w:val="000000"/>
          <w:rtl w:val="true"/>
        </w:rPr>
        <w:t xml:space="preserve">יש לציין כי </w:t>
      </w:r>
      <w:r>
        <w:rPr>
          <w:b/>
          <w:bCs/>
          <w:color w:val="000000"/>
          <w:rtl w:val="true"/>
        </w:rPr>
        <w:t>'</w:t>
      </w:r>
      <w:r>
        <w:rPr>
          <w:b/>
          <w:b/>
          <w:bCs/>
          <w:color w:val="000000"/>
          <w:rtl w:val="true"/>
        </w:rPr>
        <w:t>מגיפה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זו לא חמקה מעינו של המחוקק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אשר בחר להחמיר עם עונשיהם של אלה הבוחרים לקחת חלק בעבירות נשק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כך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למשל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 xml:space="preserve">במסגרת </w:t>
      </w:r>
      <w:hyperlink r:id="rId13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b/>
          <w:b/>
          <w:bCs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/>
          <w:bCs/>
          <w:color w:val="000000"/>
          <w:rtl w:val="true"/>
        </w:rPr>
        <w:t>תיקון מס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Cs/>
          <w:color w:val="000000"/>
        </w:rPr>
        <w:t>140</w:t>
      </w:r>
      <w:r>
        <w:rPr>
          <w:b/>
          <w:bCs/>
          <w:color w:val="000000"/>
          <w:rtl w:val="true"/>
        </w:rPr>
        <w:t xml:space="preserve"> – </w:t>
      </w:r>
      <w:r>
        <w:rPr>
          <w:b/>
          <w:b/>
          <w:bCs/>
          <w:color w:val="000000"/>
          <w:rtl w:val="true"/>
        </w:rPr>
        <w:t>הוראת שעה</w:t>
      </w:r>
      <w:r>
        <w:rPr>
          <w:b/>
          <w:bCs/>
          <w:color w:val="000000"/>
          <w:rtl w:val="true"/>
        </w:rPr>
        <w:t xml:space="preserve">), </w:t>
      </w:r>
      <w:r>
        <w:rPr>
          <w:b/>
          <w:b/>
          <w:bCs/>
          <w:color w:val="000000"/>
          <w:rtl w:val="true"/>
        </w:rPr>
        <w:t>התשפ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>-</w:t>
      </w:r>
      <w:r>
        <w:rPr>
          <w:b/>
          <w:bCs/>
          <w:color w:val="000000"/>
        </w:rPr>
        <w:t>2021</w:t>
      </w:r>
      <w:r>
        <w:rPr>
          <w:b/>
          <w:bCs/>
          <w:color w:val="000000"/>
          <w:rtl w:val="true"/>
        </w:rPr>
        <w:t xml:space="preserve"> (</w:t>
      </w:r>
      <w:r>
        <w:rPr>
          <w:b/>
          <w:b/>
          <w:bCs/>
          <w:color w:val="000000"/>
          <w:rtl w:val="true"/>
        </w:rPr>
        <w:t>להלן</w:t>
      </w:r>
      <w:r>
        <w:rPr>
          <w:b/>
          <w:bCs/>
          <w:color w:val="000000"/>
          <w:rtl w:val="true"/>
        </w:rPr>
        <w:t xml:space="preserve">: </w:t>
      </w:r>
      <w:r>
        <w:rPr>
          <w:b/>
          <w:b/>
          <w:bCs/>
          <w:color w:val="000000"/>
          <w:rtl w:val="true"/>
        </w:rPr>
        <w:t>תיקון מס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Cs/>
          <w:color w:val="000000"/>
        </w:rPr>
        <w:t>140</w:t>
      </w:r>
      <w:r>
        <w:rPr>
          <w:b/>
          <w:bCs/>
          <w:color w:val="000000"/>
          <w:rtl w:val="true"/>
        </w:rPr>
        <w:t xml:space="preserve">), </w:t>
      </w:r>
      <w:r>
        <w:rPr>
          <w:b/>
          <w:b/>
          <w:bCs/>
          <w:color w:val="000000"/>
          <w:rtl w:val="true"/>
        </w:rPr>
        <w:t xml:space="preserve">שהתקבל בכנסת ביום </w:t>
      </w:r>
      <w:r>
        <w:rPr>
          <w:b/>
          <w:bCs/>
          <w:color w:val="000000"/>
        </w:rPr>
        <w:t>7.12.2021</w:t>
      </w:r>
      <w:r>
        <w:rPr>
          <w:b/>
          <w:bCs/>
          <w:color w:val="000000"/>
          <w:rtl w:val="true"/>
        </w:rPr>
        <w:t xml:space="preserve">... </w:t>
      </w:r>
      <w:r>
        <w:rPr>
          <w:b/>
          <w:b/>
          <w:bCs/>
          <w:color w:val="000000"/>
          <w:rtl w:val="true"/>
        </w:rPr>
        <w:t xml:space="preserve">הוחלט כי עונשו של מי שהורשע בעבירה לפי סעיף </w:t>
      </w:r>
      <w:r>
        <w:rPr>
          <w:b/>
          <w:bCs/>
          <w:color w:val="000000"/>
        </w:rPr>
        <w:t>144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</w:t>
      </w:r>
      <w:hyperlink r:id="rId14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b/>
          <w:b/>
          <w:bCs/>
          <w:color w:val="000000"/>
          <w:rtl w:val="true"/>
        </w:rPr>
        <w:t xml:space="preserve"> לא יפחת מרבע העונש המרבי שנקבע לצדה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אלא אם קיימים טעמים מיוחדים שלא לעשות כן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בדברי ההסבר להצעת החוק שקדמה לתיקון מס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Cs/>
          <w:color w:val="000000"/>
        </w:rPr>
        <w:t>140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הודגש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 xml:space="preserve">כי זאת נדרשת </w:t>
      </w:r>
      <w:r>
        <w:rPr>
          <w:b/>
          <w:bCs/>
          <w:color w:val="000000"/>
          <w:rtl w:val="true"/>
        </w:rPr>
        <w:t>'</w:t>
      </w:r>
      <w:r>
        <w:rPr>
          <w:b/>
          <w:b/>
          <w:bCs/>
          <w:color w:val="000000"/>
          <w:rtl w:val="true"/>
        </w:rPr>
        <w:t>נוכח התפשטות ההתחמשות של קבוצות גדולות באוכלוסייה בנשק בלתי חוקי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ייחודיות התופעה והשלכותיה החמורות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ובפרט המחיר שהיא גובה בחיי אדם</w:t>
      </w:r>
      <w:r>
        <w:rPr>
          <w:color w:val="000000"/>
          <w:rtl w:val="true"/>
        </w:rPr>
        <w:t>'"</w:t>
      </w:r>
      <w:r>
        <w:rPr>
          <w:color w:val="000000"/>
          <w:sz w:val="27"/>
          <w:szCs w:val="27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בפסקה </w:t>
      </w:r>
      <w:r>
        <w:rPr>
          <w:color w:val="000000"/>
        </w:rPr>
        <w:t>9</w:t>
      </w:r>
      <w:r>
        <w:rPr>
          <w:color w:val="000000"/>
          <w:rtl w:val="true"/>
        </w:rPr>
        <w:t>).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textAlignment w:val="baseline"/>
        <w:rPr>
          <w:b/>
          <w:bCs/>
        </w:rPr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הנאשם החזיק באקדח טעון במחסנית ובתחמושת</w:t>
      </w:r>
      <w:r>
        <w:rPr>
          <w:rtl w:val="true"/>
        </w:rPr>
        <w:t xml:space="preserve">, </w:t>
      </w:r>
      <w:r>
        <w:rPr>
          <w:rtl w:val="true"/>
        </w:rPr>
        <w:t>מוסלק מתחת למכולה בשטח המשק בו מתגורר</w:t>
      </w:r>
      <w:r>
        <w:rPr>
          <w:rtl w:val="true"/>
        </w:rPr>
        <w:t xml:space="preserve">, </w:t>
      </w:r>
      <w:r>
        <w:rPr>
          <w:rtl w:val="true"/>
        </w:rPr>
        <w:t>אין לדעת את משך התקופה בה הוחזק הנשק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בעבירות הנשק מיוחסת חשיבות רבה לרקע והנסיבות האופפות ביצוען ואף סיווג חומרת העבירה נעשה בהתאם לחומרת נסיבות ביצועה</w:t>
      </w:r>
      <w:r>
        <w:rPr>
          <w:rtl w:val="true"/>
        </w:rPr>
        <w:t xml:space="preserve">, </w:t>
      </w:r>
      <w:r>
        <w:rPr>
          <w:rtl w:val="true"/>
        </w:rPr>
        <w:t xml:space="preserve">במדרג חומרה מהכבד אל הקל </w:t>
      </w:r>
      <w:r>
        <w:rPr>
          <w:rtl w:val="true"/>
        </w:rPr>
        <w:t>(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ש</w:t>
      </w:r>
      <w:r>
        <w:rPr>
          <w:rtl w:val="true"/>
        </w:rPr>
        <w:t xml:space="preserve"> </w:t>
      </w:r>
      <w:r>
        <w:rPr>
          <w:u w:val="single"/>
        </w:rPr>
        <w:t>652/85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 מוך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b/>
          <w:bCs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שעה שפרק זמן ההחזקה נותר עמום</w:t>
      </w:r>
      <w:r>
        <w:rPr>
          <w:rtl w:val="true"/>
        </w:rPr>
        <w:t xml:space="preserve">, </w:t>
      </w:r>
      <w:r>
        <w:rPr>
          <w:rtl w:val="true"/>
        </w:rPr>
        <w:t>בית המשפט אינו נדרש לפרשנות והערכות באשר לנתונים שמעבר לכתב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שאינם בידיעתו </w:t>
      </w:r>
      <w:r>
        <w:rPr>
          <w:rFonts w:cs="Times New Roman" w:ascii="Times New Roman" w:hAnsi="Times New Roman"/>
          <w:rtl w:val="true"/>
        </w:rPr>
        <w:t>(</w:t>
      </w:r>
      <w:hyperlink r:id="rId15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677/14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דני דנקנר נ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</w:rPr>
        <w:t>מדינת ישראל</w:t>
      </w:r>
      <w:r>
        <w:rPr>
          <w:rFonts w:cs="Times New Roman" w:ascii="Times New Roman" w:hAnsi="Times New Roman"/>
          <w:b/>
          <w:bCs/>
          <w:rtl w:val="true"/>
        </w:rPr>
        <w:t>,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פיסקה מב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</w:rPr>
        <w:t>17.7.2014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>מציאת</w:t>
      </w:r>
      <w:r>
        <w:rPr>
          <w:rtl w:val="true"/>
        </w:rPr>
        <w:t xml:space="preserve"> הנשק טעון בתחמושת תואמת</w:t>
      </w:r>
      <w:r>
        <w:rPr>
          <w:rtl w:val="true"/>
        </w:rPr>
        <w:t xml:space="preserve">, </w:t>
      </w:r>
      <w:r>
        <w:rPr>
          <w:rtl w:val="true"/>
        </w:rPr>
        <w:t>בין אם כדור בודד או מספר רב יותר</w:t>
      </w:r>
      <w:r>
        <w:rPr>
          <w:rtl w:val="true"/>
        </w:rPr>
        <w:t xml:space="preserve">, </w:t>
      </w:r>
      <w:r>
        <w:rPr>
          <w:rtl w:val="true"/>
        </w:rPr>
        <w:t>ומוכן להפעלה</w:t>
      </w:r>
      <w:r>
        <w:rPr>
          <w:rtl w:val="true"/>
        </w:rPr>
        <w:t xml:space="preserve">, </w:t>
      </w:r>
      <w:r>
        <w:rPr>
          <w:rtl w:val="true"/>
        </w:rPr>
        <w:t>מהווה נסיבה מחמירה ומקשה לקבל את טענתו של הנאשם במסגרת דבריו לעונש</w:t>
      </w:r>
      <w:r>
        <w:rPr>
          <w:rtl w:val="true"/>
        </w:rPr>
        <w:t xml:space="preserve">, </w:t>
      </w:r>
      <w:r>
        <w:rPr>
          <w:rtl w:val="true"/>
        </w:rPr>
        <w:t>ולא הובהר אם נטענה לפני כן</w:t>
      </w:r>
      <w:r>
        <w:rPr>
          <w:rtl w:val="true"/>
        </w:rPr>
        <w:t xml:space="preserve">, </w:t>
      </w:r>
      <w:r>
        <w:rPr>
          <w:rtl w:val="true"/>
        </w:rPr>
        <w:t>שהטמינו ושכח מקיומו</w:t>
      </w:r>
      <w:r>
        <w:rPr>
          <w:rtl w:val="true"/>
        </w:rPr>
        <w:t xml:space="preserve">. </w:t>
      </w:r>
      <w:r>
        <w:rPr>
          <w:rtl w:val="true"/>
        </w:rPr>
        <w:t>בהקשר זה הבהירה הפסיקה את הצורך בהחמרת הענישה אף כשנסיבות ביצוע העבירה עמומות</w:t>
      </w:r>
      <w:r>
        <w:rPr>
          <w:rtl w:val="true"/>
        </w:rPr>
        <w:t xml:space="preserve">, </w:t>
      </w:r>
      <w:r>
        <w:rPr>
          <w:rtl w:val="true"/>
        </w:rPr>
        <w:t>כך נקבע ב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2101/21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תומר טוביה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פיסקה </w:t>
      </w:r>
      <w:r>
        <w:rPr/>
        <w:t>2</w:t>
      </w:r>
      <w:r>
        <w:rPr>
          <w:rtl w:val="true"/>
        </w:rPr>
        <w:t xml:space="preserve"> (</w:t>
      </w:r>
      <w:r>
        <w:rPr/>
        <w:t>29.7.21</w:t>
      </w:r>
      <w:r>
        <w:rPr>
          <w:rtl w:val="true"/>
        </w:rPr>
        <w:t xml:space="preserve">):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יש להחמיר בענישה בגין עבירות בנשק 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יעדו הסופי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אינו נהיר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לצערנו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בשנים האחרונות מורגשת עלייה בעבירות 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והחברה משלמת על כך מחיר כבד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במחיר זה נושאים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יותר ויותר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 אזרחים נורמטיביים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שאינם מעורבים בעולם העברייני בכלל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ובעולם הנשק בפרט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ההיקף הגדול של עבירות הנשק הופך את המרחב הציבורי למקום מסוכן יותר ובטוח פחות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b/>
          <w:bCs/>
          <w:rtl w:val="true"/>
        </w:rPr>
        <w:t xml:space="preserve"> </w:t>
      </w:r>
    </w:p>
    <w:p>
      <w:pPr>
        <w:pStyle w:val="Ruller41"/>
        <w:numPr>
          <w:ilvl w:val="0"/>
          <w:numId w:val="3"/>
        </w:numPr>
        <w:ind w:hanging="357" w:start="714" w:end="0"/>
        <w:jc w:val="both"/>
        <w:textAlignment w:val="baseline"/>
        <w:rPr>
          <w:rFonts w:ascii="Times New Roman" w:hAnsi="Times New Roman" w:cs="David"/>
          <w:spacing w:val="0"/>
          <w:sz w:val="24"/>
          <w:szCs w:val="24"/>
        </w:rPr>
      </w:pP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עוד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לתת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הדעת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לסוג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הנשק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שהחזיק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הנאשם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u w:val="single"/>
          <w:rtl w:val="true"/>
        </w:rPr>
        <w:t>אקדח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u w:val="single"/>
          <w:rtl w:val="true"/>
        </w:rPr>
        <w:t>מסוג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4"/>
          <w:szCs w:val="24"/>
          <w:u w:val="single"/>
          <w:rtl w:val="true"/>
        </w:rPr>
        <w:t>"</w:t>
      </w:r>
      <w:r>
        <w:rPr>
          <w:rFonts w:ascii="Times New Roman" w:hAnsi="Times New Roman" w:cs="David"/>
          <w:spacing w:val="0"/>
          <w:sz w:val="24"/>
          <w:sz w:val="24"/>
          <w:szCs w:val="24"/>
          <w:u w:val="single"/>
          <w:rtl w:val="true"/>
        </w:rPr>
        <w:t>ברטה</w:t>
      </w:r>
      <w:r>
        <w:rPr>
          <w:rFonts w:cs="David" w:ascii="Times New Roman" w:hAnsi="Times New Roman"/>
          <w:spacing w:val="0"/>
          <w:sz w:val="24"/>
          <w:szCs w:val="24"/>
          <w:u w:val="single"/>
          <w:rtl w:val="true"/>
        </w:rPr>
        <w:t>"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שמסוכנותו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כמסוכנות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נשק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התקפי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עדיין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בנשק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שבכוחו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להמית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אדם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ואין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להקל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ראש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בהחזקתו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.  </w:t>
      </w:r>
    </w:p>
    <w:p>
      <w:pPr>
        <w:pStyle w:val="ListParagraph"/>
        <w:ind w:end="0"/>
        <w:jc w:val="start"/>
        <w:rPr>
          <w:rFonts w:ascii="Times New Roman" w:hAnsi="Times New Roman" w:cs="Times New Roman"/>
          <w:spacing w:val="0"/>
          <w:sz w:val="24"/>
          <w:szCs w:val="24"/>
        </w:rPr>
      </w:pPr>
      <w:r>
        <w:rPr>
          <w:rFonts w:cs="Times New Roman" w:ascii="Times New Roman" w:hAnsi="Times New Roman"/>
          <w:spacing w:val="0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360" w:start="720" w:end="0"/>
        <w:contextualSpacing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 xml:space="preserve">בחינת מידת פגיעת מעשי הנאשם בערך המוגן מובילה למסקנה כי הפגיעה היא </w:t>
      </w:r>
      <w:r>
        <w:rPr>
          <w:rFonts w:ascii="Times New Roman" w:hAnsi="Times New Roman" w:cs="Times New Roman"/>
          <w:b/>
          <w:b/>
          <w:bCs/>
          <w:rtl w:val="true"/>
        </w:rPr>
        <w:t>ברף נמוך</w:t>
      </w:r>
      <w:r>
        <w:rPr>
          <w:rFonts w:cs="Times New Roman" w:ascii="Times New Roman" w:hAnsi="Times New Roman"/>
          <w:b/>
          <w:bCs/>
          <w:rtl w:val="true"/>
        </w:rPr>
        <w:t>-</w:t>
      </w:r>
      <w:r>
        <w:rPr>
          <w:rFonts w:ascii="Times New Roman" w:hAnsi="Times New Roman" w:cs="Times New Roman"/>
          <w:b/>
          <w:b/>
          <w:bCs/>
          <w:rtl w:val="true"/>
        </w:rPr>
        <w:t>בינוני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בהקשר זה נתתי דעתי לכך שמדובר באקדח טעון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לנסיבות ביצוע העבירה והרקע לביצועה שנותר עמום ולכך שאין אינדקציה לשימוש בנשק או לתכנון עבירה פלילית באמצעותו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b/>
          <w:bCs/>
        </w:rPr>
      </w:pPr>
      <w:r>
        <w:rPr>
          <w:rtl w:val="true"/>
        </w:rPr>
        <w:t>על דרך הכלל</w:t>
      </w:r>
      <w:r>
        <w:rPr>
          <w:rtl w:val="true"/>
        </w:rPr>
        <w:t xml:space="preserve">, </w:t>
      </w:r>
      <w:r>
        <w:rPr>
          <w:rtl w:val="true"/>
        </w:rPr>
        <w:t>דינם של מחזיקי הנשק</w:t>
      </w:r>
      <w:r>
        <w:rPr>
          <w:rtl w:val="true"/>
        </w:rPr>
        <w:t xml:space="preserve">, </w:t>
      </w:r>
      <w:r>
        <w:rPr>
          <w:rtl w:val="true"/>
        </w:rPr>
        <w:t>לרבות אלו שעברם נקי והתקבל בעניינם תסקיר חיובי</w:t>
      </w:r>
      <w:r>
        <w:rPr>
          <w:rtl w:val="true"/>
        </w:rPr>
        <w:t xml:space="preserve">, </w:t>
      </w:r>
      <w:r>
        <w:rPr>
          <w:rtl w:val="true"/>
        </w:rPr>
        <w:t>למאסר ממש שאינו קצר</w:t>
      </w:r>
      <w:r>
        <w:rPr>
          <w:rtl w:val="true"/>
        </w:rPr>
        <w:t>:</w:t>
      </w:r>
    </w:p>
    <w:p>
      <w:pPr>
        <w:pStyle w:val="ListParagraph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60" w:start="720" w:end="0"/>
        <w:contextualSpacing/>
        <w:jc w:val="both"/>
        <w:rPr>
          <w:rFonts w:ascii="Times New Roman" w:hAnsi="Times New Roman" w:cs="Times New Roman"/>
        </w:rPr>
      </w:pP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2482/22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קדורה </w:t>
      </w:r>
      <w:r>
        <w:rPr>
          <w:rtl w:val="true"/>
        </w:rPr>
        <w:t>(</w:t>
      </w:r>
      <w:r>
        <w:rPr>
          <w:rtl w:val="true"/>
        </w:rPr>
        <w:t xml:space="preserve">מיום </w:t>
      </w:r>
      <w:r>
        <w:rPr/>
        <w:t>14.4.2022</w:t>
      </w:r>
      <w:r>
        <w:rPr>
          <w:rtl w:val="true"/>
        </w:rPr>
        <w:t>) –</w:t>
      </w:r>
      <w:r>
        <w:rPr>
          <w:rtl w:val="true"/>
        </w:rPr>
        <w:t>הורשע נאשם</w:t>
      </w:r>
      <w:r>
        <w:rPr>
          <w:rtl w:val="true"/>
        </w:rPr>
        <w:t xml:space="preserve">, </w:t>
      </w:r>
      <w:r>
        <w:rPr>
          <w:rtl w:val="true"/>
        </w:rPr>
        <w:t>על פי הודאתו</w:t>
      </w:r>
      <w:r>
        <w:rPr>
          <w:rtl w:val="true"/>
        </w:rPr>
        <w:t xml:space="preserve">, </w:t>
      </w:r>
      <w:r>
        <w:rPr>
          <w:rtl w:val="true"/>
        </w:rPr>
        <w:t xml:space="preserve">בעבירת החזקת נשק בצוותא עם אחר – אקדח </w:t>
      </w:r>
      <w:r>
        <w:rPr>
          <w:rtl w:val="true"/>
        </w:rPr>
        <w:t>"</w:t>
      </w:r>
      <w:r>
        <w:rPr>
          <w:rtl w:val="true"/>
        </w:rPr>
        <w:t>גלוק</w:t>
      </w:r>
      <w:r>
        <w:rPr>
          <w:rtl w:val="true"/>
        </w:rPr>
        <w:t xml:space="preserve">", </w:t>
      </w:r>
      <w:r>
        <w:rPr>
          <w:rtl w:val="true"/>
        </w:rPr>
        <w:t>מחסנית</w:t>
      </w:r>
      <w:r>
        <w:rPr>
          <w:rtl w:val="true"/>
        </w:rPr>
        <w:t xml:space="preserve">, </w:t>
      </w:r>
      <w:r>
        <w:rPr>
          <w:rtl w:val="true"/>
        </w:rPr>
        <w:t>כדורים ורימון הלם אותם החזיק בביתו לתקופה קצרה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קבע מתחם עונש הנע בין </w:t>
      </w:r>
      <w:r>
        <w:rPr/>
        <w:t>36-10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וגזר </w:t>
      </w:r>
      <w:r>
        <w:rPr>
          <w:b/>
          <w:b/>
          <w:bCs/>
          <w:rtl w:val="true"/>
        </w:rPr>
        <w:t>על 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בן </w:t>
      </w:r>
      <w:r>
        <w:rPr>
          <w:b/>
          <w:bCs/>
        </w:rPr>
        <w:t>19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וללא הרשעות קודמות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בית המשפט העליון קיבל את ערעור המדינה ו</w:t>
      </w:r>
      <w:r>
        <w:rPr>
          <w:b/>
          <w:b/>
          <w:bCs/>
          <w:rtl w:val="true"/>
        </w:rPr>
        <w:t>החמיר עונשו ל</w:t>
      </w:r>
      <w:r>
        <w:rPr>
          <w:b/>
          <w:bCs/>
          <w:rtl w:val="true"/>
        </w:rPr>
        <w:t>-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tl w:val="true"/>
        </w:rPr>
        <w:t>;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60" w:start="720" w:end="0"/>
        <w:contextualSpacing/>
        <w:jc w:val="both"/>
        <w:rPr>
          <w:rFonts w:ascii="Times New Roman" w:hAnsi="Times New Roman" w:cs="Times New Roman"/>
        </w:rPr>
      </w:pPr>
      <w:hyperlink r:id="rId18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רע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6265/20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אלקיעאן נ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מדינת ישראל </w:t>
      </w:r>
      <w:r>
        <w:rPr>
          <w:rFonts w:cs="Times New Roman" w:ascii="Times New Roman" w:hAnsi="Times New Roman"/>
          <w:b/>
          <w:bCs/>
          <w:rtl w:val="true"/>
        </w:rPr>
        <w:t>(</w:t>
      </w:r>
      <w:r>
        <w:rPr>
          <w:rFonts w:ascii="Times New Roman" w:hAnsi="Times New Roman" w:cs="Times New Roman"/>
          <w:rtl w:val="true"/>
        </w:rPr>
        <w:t xml:space="preserve">מיום </w:t>
      </w:r>
      <w:r>
        <w:rPr>
          <w:rFonts w:cs="Times New Roman" w:ascii="Times New Roman" w:hAnsi="Times New Roman"/>
        </w:rPr>
        <w:t>15.9.2020</w:t>
      </w:r>
      <w:r>
        <w:rPr>
          <w:rFonts w:cs="Times New Roman" w:ascii="Times New Roman" w:hAnsi="Times New Roman"/>
          <w:rtl w:val="true"/>
        </w:rPr>
        <w:t xml:space="preserve">) – </w:t>
      </w:r>
      <w:r>
        <w:rPr>
          <w:rFonts w:ascii="Times New Roman" w:hAnsi="Times New Roman" w:cs="Times New Roman"/>
          <w:rtl w:val="true"/>
        </w:rPr>
        <w:t xml:space="preserve">הנאשם הורשע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לאחר ניהול הוכחות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בכך שהחזיק אקדח ומחסנית ברכבו ונדון למאסר בן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15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בית המשפט המחוזי התחשב בעברו הנקי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בנסיבותיו החיוביות ובהתרשמות שירות המבחן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קיבל את ערעורו בחלקו 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והעמיד עונשו על </w:t>
      </w:r>
      <w:r>
        <w:rPr>
          <w:rFonts w:cs="Times New Roman" w:ascii="Times New Roman" w:hAnsi="Times New Roman"/>
          <w:b/>
          <w:bCs/>
        </w:rPr>
        <w:t>12</w:t>
      </w:r>
      <w:r>
        <w:rPr>
          <w:rFonts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חודשי מאסר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בקשת ר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ע שהוגשה לבית המשפט העליון נדחתה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כב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השופט קרא קבע בהחלטתו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כי  </w:t>
      </w:r>
      <w:r>
        <w:rPr>
          <w:color w:val="000000"/>
          <w:spacing w:val="10"/>
          <w:rtl w:val="true"/>
        </w:rPr>
        <w:t>"</w:t>
      </w:r>
      <w:r>
        <w:rPr>
          <w:b/>
          <w:b/>
          <w:bCs/>
          <w:color w:val="000000"/>
          <w:spacing w:val="10"/>
          <w:rtl w:val="true"/>
        </w:rPr>
        <w:t>עבירה של החזקת נשק</w:t>
      </w:r>
      <w:r>
        <w:rPr>
          <w:b/>
          <w:bCs/>
          <w:color w:val="000000"/>
          <w:spacing w:val="10"/>
          <w:rtl w:val="true"/>
        </w:rPr>
        <w:t xml:space="preserve">, </w:t>
      </w:r>
      <w:r>
        <w:rPr>
          <w:b/>
          <w:b/>
          <w:bCs/>
          <w:color w:val="000000"/>
          <w:spacing w:val="10"/>
          <w:rtl w:val="true"/>
        </w:rPr>
        <w:t>בה הורשע המבקש</w:t>
      </w:r>
      <w:r>
        <w:rPr>
          <w:b/>
          <w:bCs/>
          <w:color w:val="000000"/>
          <w:spacing w:val="10"/>
          <w:rtl w:val="true"/>
        </w:rPr>
        <w:t xml:space="preserve">, </w:t>
      </w:r>
      <w:r>
        <w:rPr>
          <w:b/>
          <w:b/>
          <w:bCs/>
          <w:color w:val="000000"/>
          <w:spacing w:val="10"/>
          <w:rtl w:val="true"/>
        </w:rPr>
        <w:t>הינה עבירה חמורה המצדיקה ענישה במאסר מאחורי סורג ובריח ולא בדרך של עבודות שירות</w:t>
      </w:r>
      <w:r>
        <w:rPr>
          <w:b/>
          <w:bCs/>
          <w:color w:val="000000"/>
          <w:spacing w:val="10"/>
          <w:rtl w:val="true"/>
        </w:rPr>
        <w:t xml:space="preserve">, </w:t>
      </w:r>
      <w:r>
        <w:rPr>
          <w:b/>
          <w:b/>
          <w:bCs/>
          <w:color w:val="000000"/>
          <w:spacing w:val="10"/>
          <w:rtl w:val="true"/>
        </w:rPr>
        <w:t>כאמירה ערכית</w:t>
      </w:r>
      <w:r>
        <w:rPr>
          <w:b/>
          <w:bCs/>
          <w:color w:val="000000"/>
          <w:spacing w:val="10"/>
          <w:rtl w:val="true"/>
        </w:rPr>
        <w:t xml:space="preserve">, </w:t>
      </w:r>
      <w:r>
        <w:rPr>
          <w:b/>
          <w:b/>
          <w:bCs/>
          <w:color w:val="000000"/>
          <w:spacing w:val="10"/>
          <w:rtl w:val="true"/>
        </w:rPr>
        <w:t>וביתר שאת לאור הקלות הבלתי נסבלת של השגת נשק והחזקתו</w:t>
      </w:r>
      <w:r>
        <w:rPr>
          <w:b/>
          <w:bCs/>
          <w:color w:val="000000"/>
          <w:spacing w:val="10"/>
          <w:rtl w:val="true"/>
        </w:rPr>
        <w:t xml:space="preserve">, </w:t>
      </w:r>
      <w:r>
        <w:rPr>
          <w:b/>
          <w:b/>
          <w:bCs/>
          <w:color w:val="000000"/>
          <w:spacing w:val="10"/>
          <w:rtl w:val="true"/>
        </w:rPr>
        <w:t>על כל הכרוך בשימוש בו</w:t>
      </w:r>
      <w:r>
        <w:rPr>
          <w:color w:val="000000"/>
          <w:spacing w:val="10"/>
          <w:rtl w:val="true"/>
        </w:rPr>
        <w:t xml:space="preserve">"; 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60" w:start="720" w:end="0"/>
        <w:contextualSpacing/>
        <w:jc w:val="both"/>
        <w:rPr>
          <w:rFonts w:ascii="Times New Roman" w:hAnsi="Times New Roman" w:cs="Times New Roman"/>
        </w:rPr>
      </w:pP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2015/21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אזברגה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מיום </w:t>
      </w:r>
      <w:r>
        <w:rPr/>
        <w:t>9.12.2021</w:t>
      </w:r>
      <w:r>
        <w:rPr>
          <w:rtl w:val="true"/>
        </w:rPr>
        <w:t xml:space="preserve">) – </w:t>
      </w:r>
      <w:r>
        <w:rPr>
          <w:rtl w:val="true"/>
        </w:rPr>
        <w:t>נדחה ערעורו של נאשם בעל עבר שאינו מכביד שהורשע בהחזקת שני אקדחים ברכבו</w:t>
      </w:r>
      <w:r>
        <w:rPr>
          <w:rtl w:val="true"/>
        </w:rPr>
        <w:t xml:space="preserve">, </w:t>
      </w:r>
      <w:r>
        <w:rPr>
          <w:rtl w:val="true"/>
        </w:rPr>
        <w:t>שירות המבחן המליץ להסתפק בעניינו בענישה שיקומית של עבודות שירות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 xml:space="preserve">נקבע בעניינו מתחם שנע בין </w:t>
      </w:r>
      <w:r>
        <w:rPr>
          <w:b/>
          <w:bCs/>
        </w:rPr>
        <w:t>12-36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חודשי מאסר ונגזרו עליו </w:t>
      </w: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בית המשפט העליון התייחס בהחלטתו לשיקולי השיקום  אך נתן משקל בכורה למדיניות הענישה המחמירה בעבירות נשק</w:t>
      </w:r>
      <w:r>
        <w:rPr>
          <w:rtl w:val="true"/>
        </w:rPr>
        <w:t>;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60" w:start="720" w:end="0"/>
        <w:contextualSpacing/>
        <w:jc w:val="both"/>
        <w:rPr>
          <w:rFonts w:ascii="Times New Roman" w:hAnsi="Times New Roman" w:cs="Times New Roman"/>
        </w:rPr>
      </w:pPr>
      <w:hyperlink r:id="rId20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6011/21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דסוקי נ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</w:rPr>
        <w:t>מדינת ישראל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 xml:space="preserve">מיום </w:t>
      </w:r>
      <w:r>
        <w:rPr>
          <w:rFonts w:cs="Times New Roman" w:ascii="Times New Roman" w:hAnsi="Times New Roman"/>
        </w:rPr>
        <w:t>25.11.2021</w:t>
      </w:r>
      <w:r>
        <w:rPr>
          <w:rFonts w:cs="Times New Roman" w:ascii="Times New Roman" w:hAnsi="Times New Roman"/>
          <w:rtl w:val="true"/>
        </w:rPr>
        <w:t xml:space="preserve">)- </w:t>
      </w:r>
      <w:r>
        <w:rPr>
          <w:rFonts w:ascii="Times New Roman" w:hAnsi="Times New Roman" w:cs="Times New Roman"/>
          <w:rtl w:val="true"/>
        </w:rPr>
        <w:t xml:space="preserve">דחיית ערעורו של נאשם שהורשע בעבירה של החזקת  אקדח טעון על גופו ונדון למאסר בן </w:t>
      </w:r>
      <w:r>
        <w:rPr>
          <w:rFonts w:cs="Times New Roman" w:ascii="Times New Roman" w:hAnsi="Times New Roman"/>
        </w:rPr>
        <w:t>13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חודשים</w:t>
      </w:r>
      <w:r>
        <w:rPr>
          <w:rFonts w:cs="Times New Roman" w:ascii="Times New Roman" w:hAnsi="Times New Roman"/>
          <w:rtl w:val="true"/>
        </w:rPr>
        <w:t>;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60" w:start="720" w:end="0"/>
        <w:contextualSpacing/>
        <w:jc w:val="both"/>
        <w:rPr>
          <w:rFonts w:ascii="Times New Roman" w:hAnsi="Times New Roman" w:cs="Times New Roman"/>
        </w:rPr>
      </w:pPr>
      <w:hyperlink r:id="rId21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8320/21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מדינת ישראל נ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</w:rPr>
        <w:t>בסילה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 xml:space="preserve">מיום </w:t>
      </w:r>
      <w:r>
        <w:rPr>
          <w:rFonts w:cs="Times New Roman" w:ascii="Times New Roman" w:hAnsi="Times New Roman"/>
        </w:rPr>
        <w:t>28.12.2021</w:t>
      </w:r>
      <w:r>
        <w:rPr>
          <w:rFonts w:cs="Times New Roman" w:ascii="Times New Roman" w:hAnsi="Times New Roman"/>
          <w:rtl w:val="true"/>
        </w:rPr>
        <w:t xml:space="preserve"> )-  </w:t>
      </w:r>
      <w:r>
        <w:rPr>
          <w:rFonts w:ascii="Times New Roman" w:hAnsi="Times New Roman" w:cs="Times New Roman"/>
          <w:rtl w:val="true"/>
        </w:rPr>
        <w:t xml:space="preserve">הנאשם הורשע בכך שהחזיק רובה סער דמוי </w:t>
      </w:r>
      <w:r>
        <w:rPr>
          <w:rFonts w:cs="Times New Roman" w:ascii="Times New Roman" w:hAnsi="Times New Roman"/>
        </w:rPr>
        <w:t>M-16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בביתו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נסיבותיו חיוביות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שירות המבחן המליץ להסתפק בעבודות שירות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בית המשפט המחוזי קבע מתחם ענישה שנע בין </w:t>
      </w:r>
      <w:r>
        <w:rPr>
          <w:rFonts w:cs="Times New Roman" w:ascii="Times New Roman" w:hAnsi="Times New Roman"/>
        </w:rPr>
        <w:t>6-24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חודשי מאסר וגזר עליו </w:t>
      </w:r>
      <w:r>
        <w:rPr>
          <w:rFonts w:cs="Times New Roman" w:ascii="Times New Roman" w:hAnsi="Times New Roman"/>
        </w:rPr>
        <w:t>7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ערעור המדינה על קולת העונש התקבל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בית המשפט העליון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כב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השופט סולברג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פסק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המתחם שנקבע והעונש שהוטל מקל עם הנאשם יתר על המידה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זאת גם בהתחשב בנסיבותיו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עונשו הוכפל והועמד על </w:t>
      </w:r>
      <w:r>
        <w:rPr>
          <w:rFonts w:cs="Times New Roman" w:ascii="Times New Roman" w:hAnsi="Times New Roman"/>
        </w:rPr>
        <w:t>14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</w:t>
      </w:r>
      <w:r>
        <w:rPr>
          <w:rFonts w:cs="Times New Roman" w:ascii="Times New Roman" w:hAnsi="Times New Roman"/>
          <w:rtl w:val="true"/>
        </w:rPr>
        <w:t xml:space="preserve">; 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60" w:start="720" w:end="0"/>
        <w:contextualSpacing/>
        <w:jc w:val="both"/>
        <w:rPr>
          <w:rFonts w:ascii="Times New Roman" w:hAnsi="Times New Roman" w:cs="Times New Roman"/>
        </w:rPr>
      </w:pPr>
      <w:hyperlink r:id="rId22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1826/19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אבו עסא נ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</w:rPr>
        <w:t>מדינת ישראל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 xml:space="preserve">מיום </w:t>
      </w:r>
      <w:r>
        <w:rPr>
          <w:rFonts w:cs="Times New Roman" w:ascii="Times New Roman" w:hAnsi="Times New Roman"/>
        </w:rPr>
        <w:t>11.7.2019</w:t>
      </w:r>
      <w:r>
        <w:rPr>
          <w:rFonts w:cs="Times New Roman" w:ascii="Times New Roman" w:hAnsi="Times New Roman"/>
          <w:rtl w:val="true"/>
        </w:rPr>
        <w:t xml:space="preserve">)- </w:t>
      </w:r>
      <w:r>
        <w:rPr>
          <w:rFonts w:ascii="Times New Roman" w:hAnsi="Times New Roman" w:cs="Times New Roman"/>
          <w:rtl w:val="true"/>
        </w:rPr>
        <w:t>נדחה ערעורו של נאשם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שהורשע בהחזקת נשק אוטומטי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בית המשפט קבע מתחם עונשי שנע בין </w:t>
      </w:r>
      <w:r>
        <w:rPr>
          <w:rFonts w:cs="Times New Roman" w:ascii="Times New Roman" w:hAnsi="Times New Roman"/>
        </w:rPr>
        <w:t>15-36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על הנאשם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צעיר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ללא עבר בעל סיכויי שיקום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נגזרו </w:t>
      </w:r>
      <w:r>
        <w:rPr>
          <w:rFonts w:cs="Times New Roman" w:ascii="Times New Roman" w:hAnsi="Times New Roman"/>
        </w:rPr>
        <w:t>18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</w:t>
      </w:r>
      <w:r>
        <w:rPr>
          <w:rFonts w:cs="Times New Roman" w:ascii="Times New Roman" w:hAnsi="Times New Roman"/>
          <w:rtl w:val="true"/>
        </w:rPr>
        <w:t>;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60" w:start="720" w:end="0"/>
        <w:contextualSpacing/>
        <w:jc w:val="both"/>
        <w:rPr>
          <w:rFonts w:ascii="Times New Roman" w:hAnsi="Times New Roman" w:cs="Times New Roman"/>
        </w:rPr>
      </w:pPr>
      <w:hyperlink r:id="rId23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רע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5613/20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אלהוזייל נ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</w:rPr>
        <w:t>מדינת ישראל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 xml:space="preserve">מיום </w:t>
      </w:r>
      <w:r>
        <w:rPr>
          <w:rFonts w:cs="Times New Roman" w:ascii="Times New Roman" w:hAnsi="Times New Roman"/>
        </w:rPr>
        <w:t>25.8.2020</w:t>
      </w:r>
      <w:r>
        <w:rPr>
          <w:rFonts w:cs="Times New Roman" w:ascii="Times New Roman" w:hAnsi="Times New Roman"/>
          <w:rtl w:val="true"/>
        </w:rPr>
        <w:t xml:space="preserve">)– </w:t>
      </w:r>
      <w:r>
        <w:rPr>
          <w:rFonts w:ascii="Times New Roman" w:hAnsi="Times New Roman" w:cs="Times New Roman"/>
          <w:rtl w:val="true"/>
        </w:rPr>
        <w:t>הנאשם הורשע בהחזקת אקדח ותחמושת מתאימה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הנאשם בעל עבר פלילי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נסיבותיו האישיות קשות ושירות המבחן המליץ לגזור עליו עבודות שירות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בית משפט השלום קבע מתחם עונשי שנע בין </w:t>
      </w:r>
      <w:r>
        <w:rPr>
          <w:rFonts w:cs="Times New Roman" w:ascii="Times New Roman" w:hAnsi="Times New Roman"/>
        </w:rPr>
        <w:t>11-33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 וגזר עליו שנת מאסר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ערעור ור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ע שהגיש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ascii="Times New Roman" w:hAnsi="Times New Roman" w:cs="Times New Roman"/>
          <w:rtl w:val="true"/>
        </w:rPr>
        <w:t>נדחו</w:t>
      </w:r>
      <w:r>
        <w:rPr>
          <w:rFonts w:cs="Times New Roman" w:ascii="Times New Roman" w:hAnsi="Times New Roman"/>
          <w:rtl w:val="true"/>
        </w:rPr>
        <w:t xml:space="preserve">; 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60" w:start="720" w:end="0"/>
        <w:contextualSpacing/>
        <w:jc w:val="both"/>
        <w:rPr>
          <w:rFonts w:ascii="Times New Roman" w:hAnsi="Times New Roman" w:cs="Times New Roman"/>
        </w:rPr>
      </w:pPr>
      <w:hyperlink r:id="rId24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3288/14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מדינת ישראל נ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קריספיל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24.8.2014</w:t>
      </w:r>
      <w:r>
        <w:rPr>
          <w:rFonts w:cs="Times New Roman" w:ascii="Times New Roman" w:hAnsi="Times New Roman"/>
          <w:rtl w:val="true"/>
        </w:rPr>
        <w:t xml:space="preserve">) – </w:t>
      </w:r>
      <w:r>
        <w:rPr>
          <w:rFonts w:ascii="Times New Roman" w:hAnsi="Times New Roman" w:cs="Times New Roman"/>
          <w:rtl w:val="true"/>
        </w:rPr>
        <w:t>הנאשם הורשע בעבירה החזקת אקדח טעון ומשתיק קול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נקבע מתחם ענישה הנע בין </w:t>
      </w:r>
      <w:r>
        <w:rPr>
          <w:rFonts w:cs="Times New Roman" w:ascii="Times New Roman" w:hAnsi="Times New Roman"/>
        </w:rPr>
        <w:t>22-6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והנאשם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בעל עבר פלילי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נדון ל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9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 בפועל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בית המשפט העליון קיבל את ערעור המדינה והחמיר עונשו ל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18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התמונה העונשית המשתקפת בפסיקה ברורה וכוללת עונשי מאסר ממש</w:t>
      </w:r>
      <w:r>
        <w:rPr>
          <w:rtl w:val="true"/>
        </w:rPr>
        <w:t xml:space="preserve">, </w:t>
      </w:r>
      <w:r>
        <w:rPr>
          <w:rtl w:val="true"/>
        </w:rPr>
        <w:t xml:space="preserve">בבחינת 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אם מחזיקים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למאסר נשלחים</w:t>
      </w:r>
      <w:r>
        <w:rPr>
          <w:rtl w:val="true"/>
        </w:rPr>
        <w:t>" 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 עמית</w:t>
      </w:r>
      <w:r>
        <w:rPr>
          <w:rtl w:val="true"/>
        </w:rPr>
        <w:t xml:space="preserve">,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2482/22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קדורה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(</w:t>
      </w:r>
      <w:r>
        <w:rPr>
          <w:rtl w:val="true"/>
        </w:rPr>
        <w:t xml:space="preserve">מיום </w:t>
      </w:r>
      <w:r>
        <w:rPr/>
        <w:t>14.04.2022</w:t>
      </w:r>
      <w:r>
        <w:rPr>
          <w:rtl w:val="true"/>
        </w:rPr>
        <w:t xml:space="preserve">)). 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ההגנה עותרת לענישה מתונה של חודשי מאסר ספורים</w:t>
      </w:r>
      <w:r>
        <w:rPr>
          <w:rtl w:val="true"/>
        </w:rPr>
        <w:t xml:space="preserve">, </w:t>
      </w:r>
      <w:r>
        <w:rPr>
          <w:rtl w:val="true"/>
        </w:rPr>
        <w:t>תוך שימת דגש על נסיבותיו האינדיבידואליות של הנאשם</w:t>
      </w:r>
      <w:r>
        <w:rPr>
          <w:rtl w:val="true"/>
        </w:rPr>
        <w:t xml:space="preserve">, </w:t>
      </w:r>
      <w:r>
        <w:rPr>
          <w:rtl w:val="true"/>
        </w:rPr>
        <w:t>והפנתה לאסופת פסיקה</w:t>
      </w:r>
      <w:r>
        <w:rPr>
          <w:rtl w:val="true"/>
        </w:rPr>
        <w:t xml:space="preserve">, </w:t>
      </w:r>
      <w:r>
        <w:rPr>
          <w:rtl w:val="true"/>
        </w:rPr>
        <w:t>רובה של בית משפט השלום</w:t>
      </w:r>
      <w:r>
        <w:rPr>
          <w:rtl w:val="true"/>
        </w:rPr>
        <w:t xml:space="preserve">. </w:t>
      </w:r>
      <w:r>
        <w:rPr>
          <w:rtl w:val="true"/>
        </w:rPr>
        <w:t>כך בין היתר</w:t>
      </w:r>
      <w:r>
        <w:rPr>
          <w:rtl w:val="true"/>
        </w:rPr>
        <w:t xml:space="preserve">: </w:t>
      </w:r>
      <w:hyperlink r:id="rId2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5613/20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אלהוזייל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25.8.2020</w:t>
      </w:r>
      <w:r>
        <w:rPr>
          <w:rtl w:val="true"/>
        </w:rPr>
        <w:t>)-</w:t>
      </w:r>
      <w:r>
        <w:rPr>
          <w:rtl w:val="true"/>
        </w:rPr>
        <w:t>דחיית ערעורו של נאשם שהחזיק אקדח ותחמושת בביתו ונדון לשנת מאסר</w:t>
      </w:r>
      <w:r>
        <w:rPr>
          <w:rtl w:val="true"/>
        </w:rPr>
        <w:t xml:space="preserve">; </w:t>
      </w: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נצ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9384-04-20</w:t>
        </w:r>
      </w:hyperlink>
      <w:r>
        <w:rPr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 ישראל 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מוחמד טבאש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</w:rPr>
        <w:t>8.6.21</w:t>
      </w:r>
      <w:r>
        <w:rPr>
          <w:u w:val="single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 xml:space="preserve">הנאשם החזיק מתחת למזרן מיטתו אקדח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טעון במחסנית ובה תחמושת</w:t>
      </w:r>
      <w:r>
        <w:rPr>
          <w:rtl w:val="true"/>
        </w:rPr>
        <w:t xml:space="preserve">, </w:t>
      </w:r>
      <w:r>
        <w:rPr>
          <w:rtl w:val="true"/>
        </w:rPr>
        <w:t>ותחמושת נוספת</w:t>
      </w:r>
      <w:r>
        <w:rPr>
          <w:rtl w:val="true"/>
        </w:rPr>
        <w:t xml:space="preserve">. </w:t>
      </w:r>
      <w:r>
        <w:rPr>
          <w:rtl w:val="true"/>
        </w:rPr>
        <w:t xml:space="preserve">נקבע מתחם הנע בין </w:t>
      </w:r>
      <w:r>
        <w:rPr/>
        <w:t>30-12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 xml:space="preserve">צעיר בן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ללא עבר פלילי</w:t>
      </w:r>
      <w:r>
        <w:rPr>
          <w:rtl w:val="true"/>
        </w:rPr>
        <w:t xml:space="preserve">, </w:t>
      </w:r>
      <w:r>
        <w:rPr>
          <w:rtl w:val="true"/>
        </w:rPr>
        <w:t>נדון 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 ו</w:t>
      </w:r>
      <w:hyperlink r:id="rId2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חד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5779-09-21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 ישראל 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 xml:space="preserve">חוסייני </w:t>
      </w:r>
      <w:r>
        <w:rPr>
          <w:u w:val="single"/>
          <w:rtl w:val="true"/>
        </w:rPr>
        <w:t>(</w:t>
      </w:r>
      <w:r>
        <w:rPr>
          <w:u w:val="single"/>
        </w:rPr>
        <w:t>17.11.21</w:t>
      </w:r>
      <w:r>
        <w:rPr>
          <w:u w:val="single"/>
          <w:rtl w:val="true"/>
        </w:rPr>
        <w:t>),</w:t>
      </w:r>
      <w:r>
        <w:rPr>
          <w:rtl w:val="true"/>
        </w:rPr>
        <w:t xml:space="preserve"> </w:t>
      </w:r>
      <w:r>
        <w:rPr>
          <w:rtl w:val="true"/>
        </w:rPr>
        <w:t xml:space="preserve">הנאשם החזיק בארון הבגדים בחדר השינה אקדח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טעון במחסנית ובה תחמושת</w:t>
      </w:r>
      <w:r>
        <w:rPr>
          <w:rtl w:val="true"/>
        </w:rPr>
        <w:t xml:space="preserve">. </w:t>
      </w:r>
      <w:r>
        <w:rPr>
          <w:rtl w:val="true"/>
        </w:rPr>
        <w:t xml:space="preserve">נקבע מתחם הנע בין </w:t>
      </w:r>
      <w:r>
        <w:rPr/>
        <w:t>36-12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בעל עבר פלילי נדון 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חודשים וכיו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התמונה העולה מפסיקת ההגנה אף היא אינה מתיישבת עם עתירתה להסתפק במאסר קצר בן מספר חודשים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לאחר שבחנתי את נסיבות 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מדיניות הענישה הנוהגת והוראת תיקון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אני קובעת מתחם ענישה שנע </w:t>
      </w:r>
      <w:r>
        <w:rPr>
          <w:b/>
          <w:b/>
          <w:bCs/>
          <w:rtl w:val="true"/>
        </w:rPr>
        <w:t xml:space="preserve">בין </w:t>
      </w:r>
      <w:r>
        <w:rPr>
          <w:b/>
          <w:bCs/>
        </w:rPr>
        <w:t>14-30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</w:t>
      </w:r>
      <w:r>
        <w:rPr>
          <w:b/>
          <w:bCs/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 העונש המתאים לנאשם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 xml:space="preserve">הנאשם יליד </w:t>
      </w:r>
      <w:r>
        <w:rPr/>
        <w:t>1973</w:t>
      </w:r>
      <w:r>
        <w:rPr>
          <w:rtl w:val="true"/>
        </w:rPr>
        <w:t xml:space="preserve">, </w:t>
      </w:r>
      <w:r>
        <w:rPr>
          <w:rtl w:val="true"/>
        </w:rPr>
        <w:t xml:space="preserve">לחובתו עבר פלילי הכולל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הרשעות קודמות</w:t>
      </w:r>
      <w:r>
        <w:rPr>
          <w:rtl w:val="true"/>
        </w:rPr>
        <w:t xml:space="preserve">, </w:t>
      </w:r>
      <w:r>
        <w:rPr>
          <w:rtl w:val="true"/>
        </w:rPr>
        <w:t xml:space="preserve">האחרונה שבהן משנת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בעבירות שונות</w:t>
      </w:r>
      <w:r>
        <w:rPr>
          <w:rtl w:val="true"/>
        </w:rPr>
        <w:t xml:space="preserve">, </w:t>
      </w:r>
      <w:r>
        <w:rPr>
          <w:rtl w:val="true"/>
        </w:rPr>
        <w:t>בין היתר הצתה</w:t>
      </w:r>
      <w:r>
        <w:rPr>
          <w:rtl w:val="true"/>
        </w:rPr>
        <w:t xml:space="preserve">, </w:t>
      </w:r>
      <w:r>
        <w:rPr>
          <w:rtl w:val="true"/>
        </w:rPr>
        <w:t>עבירות אלימות ורכוש</w:t>
      </w:r>
      <w:r>
        <w:rPr>
          <w:rtl w:val="true"/>
        </w:rPr>
        <w:t xml:space="preserve">. </w:t>
      </w:r>
      <w:r>
        <w:rPr>
          <w:rtl w:val="true"/>
        </w:rPr>
        <w:t>עדי אופי מטעמו העידו על אופיו נעים ההליכות</w:t>
      </w:r>
      <w:r>
        <w:rPr>
          <w:rtl w:val="true"/>
        </w:rPr>
        <w:t xml:space="preserve">, </w:t>
      </w:r>
      <w:r>
        <w:rPr>
          <w:rtl w:val="true"/>
        </w:rPr>
        <w:t>עזרתו לזולת ותפקודו כאב מעורב ודומיננטי בגידול ילדיו</w:t>
      </w:r>
      <w:r>
        <w:rPr>
          <w:rtl w:val="true"/>
        </w:rPr>
        <w:t xml:space="preserve">. </w:t>
      </w:r>
      <w:r>
        <w:rPr>
          <w:rtl w:val="true"/>
        </w:rPr>
        <w:t>עוד התחשבתי בהודאתו תוך זמן קצר וייעול ההליך המשפטי</w:t>
      </w:r>
      <w:r>
        <w:rPr>
          <w:rtl w:val="true"/>
        </w:rPr>
        <w:t xml:space="preserve">, </w:t>
      </w:r>
      <w:r>
        <w:rPr>
          <w:rtl w:val="true"/>
        </w:rPr>
        <w:t>הבעת חרטה ותפקודו התקין במעצר</w:t>
      </w:r>
      <w:r>
        <w:rPr>
          <w:rtl w:val="true"/>
        </w:rPr>
        <w:t xml:space="preserve">. </w:t>
      </w:r>
      <w:r>
        <w:rPr>
          <w:rtl w:val="true"/>
        </w:rPr>
        <w:t>הגם שהרשעותיו של הנאשם אינן קלות אתן משקל לחלוף הזמן ואניח לטובתו</w:t>
      </w:r>
      <w:r>
        <w:rPr>
          <w:rtl w:val="true"/>
        </w:rPr>
        <w:t xml:space="preserve">, </w:t>
      </w:r>
      <w:r>
        <w:rPr>
          <w:rtl w:val="true"/>
        </w:rPr>
        <w:t>כי מעידתו בתיק זה חריגה לאורח חייו בשנים האחרונות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לאחר ששקלתי את כלל השיקולים לקולא ולחומרא</w:t>
      </w:r>
      <w:r>
        <w:rPr>
          <w:rtl w:val="true"/>
        </w:rPr>
        <w:t xml:space="preserve">, </w:t>
      </w:r>
      <w:r>
        <w:rPr>
          <w:rtl w:val="true"/>
        </w:rPr>
        <w:t>מצאתי למקם את עונשו של הנאשם בתחתית מתחם הענישה</w:t>
      </w:r>
      <w:r>
        <w:rPr>
          <w:rtl w:val="true"/>
        </w:rPr>
        <w:t xml:space="preserve">. </w:t>
      </w:r>
      <w:r>
        <w:rPr>
          <w:rtl w:val="true"/>
        </w:rPr>
        <w:t xml:space="preserve">בענייננו חלה הוראת השעה במסגרת תיקון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. </w:t>
      </w:r>
      <w:r>
        <w:rPr>
          <w:rtl w:val="true"/>
        </w:rPr>
        <w:t xml:space="preserve">העונש המרבי הקבוע בצדה של העבירה בה הורשע הנאשם הוא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ורבע ממנו</w:t>
      </w:r>
      <w:r>
        <w:rPr>
          <w:rtl w:val="true"/>
        </w:rPr>
        <w:t xml:space="preserve">, </w:t>
      </w:r>
      <w:r>
        <w:rPr>
          <w:rtl w:val="true"/>
        </w:rPr>
        <w:t xml:space="preserve">עומד על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חלקו יוטל כענישה צופה פני עתיד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b/>
          <w:b/>
          <w:bCs/>
          <w:rtl w:val="true"/>
        </w:rPr>
        <w:t>לאור האמור 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ולאחר ששקלתי את כלל השיקולים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 גוזרת על הנאשם את העונשים הבאים</w:t>
      </w:r>
      <w:r>
        <w:rPr>
          <w:b/>
          <w:bCs/>
          <w:rtl w:val="true"/>
        </w:rPr>
        <w:t xml:space="preserve">: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 w:before="0" w:after="160"/>
        <w:ind w:hanging="360" w:start="1080" w:end="0"/>
        <w:contextualSpacing/>
        <w:jc w:val="both"/>
        <w:rPr>
          <w:b/>
          <w:bCs/>
        </w:rPr>
      </w:pP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חודשי מאסר בפועל החל מיום מעצרו </w:t>
      </w:r>
      <w:r>
        <w:rPr>
          <w:b/>
          <w:bCs/>
        </w:rPr>
        <w:t>2.5.22</w:t>
      </w:r>
      <w:r>
        <w:rPr>
          <w:b/>
          <w:bCs/>
          <w:rtl w:val="true"/>
        </w:rPr>
        <w:t xml:space="preserve">. </w:t>
      </w:r>
    </w:p>
    <w:p>
      <w:pPr>
        <w:pStyle w:val="ListParagraph"/>
        <w:numPr>
          <w:ilvl w:val="0"/>
          <w:numId w:val="5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מאסר על תנאי בן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חודשים לבל יעבור הנאשם עבירת נשק מסוג פשע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5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קנס בסך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 מאסר</w:t>
      </w:r>
      <w:r>
        <w:rPr>
          <w:rtl w:val="true"/>
        </w:rPr>
        <w:t xml:space="preserve">. </w:t>
      </w:r>
      <w:r>
        <w:rPr>
          <w:rtl w:val="true"/>
        </w:rPr>
        <w:t xml:space="preserve">הקנס ישולם בחמישה תשלומים שווים ורצופים החל מיום </w:t>
      </w:r>
      <w:r>
        <w:rPr/>
        <w:t>3.10.22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התחמושת וסמים שנתפסו בתיק יושמדו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זכות ערעור לבית המשפט העליון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#6#</w:t>
      </w:r>
      <w:r>
        <w:rPr>
          <w:rFonts w:cs="David" w:ascii="David" w:hAnsi="David"/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>
          <w:rFonts w:ascii="David" w:hAnsi="David" w:cs="David"/>
          <w:sz w:val="6"/>
          <w:szCs w:val="6"/>
        </w:rPr>
      </w:pPr>
      <w:r>
        <w:rPr>
          <w:rFonts w:cs="David"/>
          <w:sz w:val="6"/>
          <w:szCs w:val="6"/>
          <w:rtl w:val="true"/>
        </w:rPr>
      </w:r>
    </w:p>
    <w:p>
      <w:pPr>
        <w:pStyle w:val="Normal"/>
        <w:ind w:end="0"/>
        <w:jc w:val="start"/>
        <w:rPr/>
      </w:pPr>
      <w:bookmarkStart w:id="13" w:name="Nitan"/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 אלול תשפ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15/09/2022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  <w:bookmarkEnd w:id="13"/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color w:val="FFFFFF"/>
                <w:sz w:val="2"/>
                <w:szCs w:val="2"/>
              </w:rPr>
            </w:pPr>
            <w:r>
              <w:rPr>
                <w:rFonts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color w:val="FFFFFF"/>
                <w:sz w:val="2"/>
                <w:szCs w:val="2"/>
              </w:rPr>
            </w:pPr>
            <w:r>
              <w:rPr>
                <w:rFonts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מרב גרינברג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נועה</w:t>
      </w:r>
      <w:r>
        <w:rPr>
          <w:rtl w:val="true"/>
        </w:rPr>
        <w:t xml:space="preserve"> </w:t>
      </w:r>
      <w:r>
        <w:rPr>
          <w:rtl w:val="true"/>
        </w:rPr>
        <w:t>רחלי</w:t>
      </w:r>
      <w:r>
        <w:rPr>
          <w:rtl w:val="true"/>
        </w:rPr>
        <w:t xml:space="preserve"> </w:t>
      </w:r>
      <w:r>
        <w:rPr>
          <w:rtl w:val="true"/>
        </w:rPr>
        <w:t>עוז</w:t>
      </w:r>
    </w:p>
    <w:p>
      <w:pPr>
        <w:pStyle w:val="Normal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0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מרב גרינברג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 מסמך זה כפוף לשינויי ניסוח ועריכה</w:t>
      </w:r>
    </w:p>
    <w:sectPr>
      <w:headerReference w:type="default" r:id="rId31"/>
      <w:footerReference w:type="default" r:id="rId32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auto" w:line="218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42197-05-22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גולן גד אטון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b w:val="false"/>
        <w:bCs w:val="false"/>
        <w:rFonts w:cs="Times New Roman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b w:val="false"/>
        <w:bCs w:val="false"/>
        <w:rFonts w:cs="Times New Roman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sz w:val="22"/>
        <w:rFonts w:cs="David"/>
      </w:r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b w:val="false"/>
        <w:bCs w:val="false"/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42197-05-22"/>
    <w:docVar w:name="caseId" w:val="79292635"/>
    <w:docVar w:name="deriveClass" w:val="NGCS.Protocol.BL.Client.ProtocolBLClientCriminal"/>
    <w:docVar w:name="firstPageNumber" w:val="9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2"/>
    <w:docVar w:name="NGCS.userUPN" w:val="ëåìí"/>
    <w:docVar w:name="privellegeId" w:val="1"/>
    <w:docVar w:name="protocolId" w:val="12858253"/>
    <w:docVar w:name="releaseSign" w:val="0"/>
    <w:docVar w:name="sittingDateTime" w:val="15/09/2022 09:30     "/>
    <w:docVar w:name="sittingId" w:val="93602311"/>
    <w:docVar w:name="sittingTypeId" w:val="2"/>
    <w:docVar w:name="WordClientAssemblyName" w:val="NGCS.Protocol.BL.Client"/>
    <w:docVar w:name="WordClientClassName" w:val="NGCS.Templates.UIP.TemplateWord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hanging="0" w:start="0" w:end="0"/>
      <w:jc w:val="start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hanging="0" w:start="0" w:end="0"/>
      <w:jc w:val="start"/>
      <w:outlineLvl w:val="2"/>
    </w:pPr>
    <w:rPr>
      <w:b/>
      <w:bCs/>
      <w:sz w:val="26"/>
      <w:szCs w:val="26"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  <w:b w:val="false"/>
      <w:bCs w:val="false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8z0">
    <w:name w:val="WW8Num8z0"/>
    <w:qFormat/>
    <w:rPr>
      <w:rFonts w:cs="Times New Roman"/>
    </w:rPr>
  </w:style>
  <w:style w:type="character" w:styleId="WW8Num8z1">
    <w:name w:val="WW8Num8z1"/>
    <w:qFormat/>
    <w:rPr>
      <w:rFonts w:cs="Times New Roman"/>
    </w:rPr>
  </w:style>
  <w:style w:type="character" w:styleId="WW8Num9z0">
    <w:name w:val="WW8Num9z0"/>
    <w:qFormat/>
    <w:rPr>
      <w:rFonts w:cs="Times New Roman"/>
    </w:rPr>
  </w:style>
  <w:style w:type="character" w:styleId="WW8Num10z0">
    <w:name w:val="WW8Num10z0"/>
    <w:qFormat/>
    <w:rPr>
      <w:rFonts w:cs="Times New Roman"/>
    </w:rPr>
  </w:style>
  <w:style w:type="character" w:styleId="WW8Num11z0">
    <w:name w:val="WW8Num11z0"/>
    <w:qFormat/>
    <w:rPr>
      <w:rFonts w:cs="Times New Roman"/>
    </w:rPr>
  </w:style>
  <w:style w:type="character" w:styleId="WW8Num12z0">
    <w:name w:val="WW8Num12z0"/>
    <w:qFormat/>
    <w:rPr>
      <w:rFonts w:cs="Times New Roman"/>
    </w:rPr>
  </w:style>
  <w:style w:type="character" w:styleId="WW8Num12z1">
    <w:name w:val="WW8Num12z1"/>
    <w:qFormat/>
    <w:rPr>
      <w:rFonts w:cs="Times New Roman"/>
    </w:rPr>
  </w:style>
  <w:style w:type="character" w:styleId="WW8Num13z0">
    <w:name w:val="WW8Num13z0"/>
    <w:qFormat/>
    <w:rPr>
      <w:rFonts w:cs="Times New Roman"/>
    </w:rPr>
  </w:style>
  <w:style w:type="character" w:styleId="WW8Num13z1">
    <w:name w:val="WW8Num13z1"/>
    <w:qFormat/>
    <w:rPr>
      <w:rFonts w:cs="Times New Roman"/>
    </w:rPr>
  </w:style>
  <w:style w:type="character" w:styleId="WW8Num14z0">
    <w:name w:val="WW8Num14z0"/>
    <w:qFormat/>
    <w:rPr>
      <w:rFonts w:cs="Times New Roman"/>
    </w:rPr>
  </w:style>
  <w:style w:type="character" w:styleId="WW8Num15z0">
    <w:name w:val="WW8Num15z0"/>
    <w:qFormat/>
    <w:rPr>
      <w:rFonts w:cs="Times New Roman"/>
    </w:rPr>
  </w:style>
  <w:style w:type="character" w:styleId="WW8Num16z0">
    <w:name w:val="WW8Num16z0"/>
    <w:qFormat/>
    <w:rPr>
      <w:rFonts w:cs="Times New Roman"/>
    </w:rPr>
  </w:style>
  <w:style w:type="character" w:styleId="WW8Num17z0">
    <w:name w:val="WW8Num17z0"/>
    <w:qFormat/>
    <w:rPr>
      <w:rFonts w:cs="Times New Roman"/>
    </w:rPr>
  </w:style>
  <w:style w:type="character" w:styleId="WW8Num18z0">
    <w:name w:val="WW8Num18z0"/>
    <w:qFormat/>
    <w:rPr>
      <w:rFonts w:cs="David"/>
      <w:sz w:val="22"/>
    </w:rPr>
  </w:style>
  <w:style w:type="character" w:styleId="WW8Num18z1">
    <w:name w:val="WW8Num18z1"/>
    <w:qFormat/>
    <w:rPr>
      <w:rFonts w:cs="Times New Roman"/>
    </w:rPr>
  </w:style>
  <w:style w:type="character" w:styleId="WW8Num19z0">
    <w:name w:val="WW8Num19z0"/>
    <w:qFormat/>
    <w:rPr>
      <w:rFonts w:cs="Times New Roman"/>
    </w:rPr>
  </w:style>
  <w:style w:type="character" w:styleId="WW8Num20z0">
    <w:name w:val="WW8Num20z0"/>
    <w:qFormat/>
    <w:rPr>
      <w:rFonts w:cs="Times New Roman"/>
      <w:b w:val="false"/>
      <w:bCs w:val="false"/>
    </w:rPr>
  </w:style>
  <w:style w:type="character" w:styleId="WW8Num20z1">
    <w:name w:val="WW8Num20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</w:rPr>
  </w:style>
  <w:style w:type="character" w:styleId="PageNumber">
    <w:name w:val="page number"/>
    <w:rPr>
      <w:rFonts w:cs="Times New Roman"/>
    </w:rPr>
  </w:style>
  <w:style w:type="character" w:styleId="LineNumber">
    <w:name w:val="line number"/>
    <w:rPr>
      <w:sz w:val="20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Times New Roman"/>
      <w:b/>
      <w:sz w:val="26"/>
    </w:rPr>
  </w:style>
  <w:style w:type="character" w:styleId="PlaceholderText">
    <w:name w:val="Placeholder Text"/>
    <w:qFormat/>
    <w:rPr>
      <w:color w:val="808080"/>
    </w:rPr>
  </w:style>
  <w:style w:type="character" w:styleId="Ruller4">
    <w:name w:val="Ruller4 תו"/>
    <w:qFormat/>
    <w:rPr>
      <w:rFonts w:ascii="Arial TUR" w:hAnsi="Arial TUR" w:cs="Arial TUR"/>
      <w:spacing w:val="10"/>
      <w:sz w:val="28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sz w:val="20"/>
      <w:szCs w:val="20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360"/>
      <w:ind w:hanging="0" w:start="0" w:end="0"/>
      <w:jc w:val="both"/>
    </w:pPr>
    <w:rPr>
      <w:rFonts w:ascii="Arial" w:hAnsi="Arial" w:eastAsia="David" w:cs="Arial"/>
    </w:rPr>
  </w:style>
  <w:style w:type="paragraph" w:styleId="Arial1">
    <w:name w:val="סגנון (לטיני) Arial מודגש מיושר לשני הצדדים מרווח בין שורות:  שו..."/>
    <w:basedOn w:val="Normal"/>
    <w:qFormat/>
    <w:pPr>
      <w:spacing w:lineRule="auto" w:line="360"/>
      <w:ind w:hanging="0" w:start="0" w:end="0"/>
      <w:jc w:val="both"/>
    </w:pPr>
    <w:rPr>
      <w:rFonts w:ascii="Arial" w:hAnsi="Arial" w:eastAsia="David" w:cs="Arial"/>
      <w:b/>
      <w:bCs/>
    </w:rPr>
  </w:style>
  <w:style w:type="paragraph" w:styleId="TimesNewRoman13">
    <w:name w:val="סגנון (לטיני) Times New Roman ‏13 נק' מודגש מיושר לשני הצדדים מ..."/>
    <w:basedOn w:val="Normal"/>
    <w:qFormat/>
    <w:pPr>
      <w:spacing w:lineRule="auto" w:line="360"/>
      <w:ind w:hanging="0" w:start="0" w:end="0"/>
      <w:jc w:val="both"/>
    </w:pPr>
    <w:rPr>
      <w:rFonts w:ascii="Times New Roman" w:hAnsi="Times New Roman" w:eastAsia="David" w:cs="Times New Roman"/>
      <w:b/>
      <w:bCs/>
      <w:sz w:val="26"/>
      <w:szCs w:val="26"/>
    </w:rPr>
  </w:style>
  <w:style w:type="paragraph" w:styleId="12">
    <w:name w:val="רגיל + ‏12 נק'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ind w:hanging="0" w:start="0" w:end="0"/>
      <w:jc w:val="both"/>
    </w:pPr>
    <w:rPr>
      <w:rFonts w:ascii="Times New Roman" w:hAnsi="Times New Roman" w:eastAsia="David" w:cs="Times New Roman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  <w:jc w:val="start"/>
    </w:pPr>
    <w:rPr/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overflowPunct w:val="false"/>
      <w:autoSpaceDE w:val="false"/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0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27894608" TargetMode="External"/><Relationship Id="rId7" Type="http://schemas.openxmlformats.org/officeDocument/2006/relationships/hyperlink" Target="http://www.nevo.co.il/case/27911638" TargetMode="External"/><Relationship Id="rId8" Type="http://schemas.openxmlformats.org/officeDocument/2006/relationships/hyperlink" Target="http://www.nevo.co.il/case/28152132" TargetMode="External"/><Relationship Id="rId9" Type="http://schemas.openxmlformats.org/officeDocument/2006/relationships/hyperlink" Target="http://www.nevo.co.il/case/28452933" TargetMode="External"/><Relationship Id="rId10" Type="http://schemas.openxmlformats.org/officeDocument/2006/relationships/hyperlink" Target="http://www.nevo.co.il/case/27305799" TargetMode="External"/><Relationship Id="rId11" Type="http://schemas.openxmlformats.org/officeDocument/2006/relationships/hyperlink" Target="http://www.nevo.co.il/case/5568354" TargetMode="External"/><Relationship Id="rId12" Type="http://schemas.openxmlformats.org/officeDocument/2006/relationships/hyperlink" Target="http://www.nevo.co.il/case/27933514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11273152" TargetMode="External"/><Relationship Id="rId16" Type="http://schemas.openxmlformats.org/officeDocument/2006/relationships/hyperlink" Target="http://www.nevo.co.il/case/27499246" TargetMode="External"/><Relationship Id="rId17" Type="http://schemas.openxmlformats.org/officeDocument/2006/relationships/hyperlink" Target="http://www.nevo.co.il/case/28513828" TargetMode="External"/><Relationship Id="rId18" Type="http://schemas.openxmlformats.org/officeDocument/2006/relationships/hyperlink" Target="http://www.nevo.co.il/case/26986974" TargetMode="External"/><Relationship Id="rId19" Type="http://schemas.openxmlformats.org/officeDocument/2006/relationships/hyperlink" Target="http://www.nevo.co.il/case/27491153" TargetMode="External"/><Relationship Id="rId20" Type="http://schemas.openxmlformats.org/officeDocument/2006/relationships/hyperlink" Target="http://www.nevo.co.il/case/27911638" TargetMode="External"/><Relationship Id="rId21" Type="http://schemas.openxmlformats.org/officeDocument/2006/relationships/hyperlink" Target="http://www.nevo.co.il/case/28152132" TargetMode="External"/><Relationship Id="rId22" Type="http://schemas.openxmlformats.org/officeDocument/2006/relationships/hyperlink" Target="http://www.nevo.co.il/case/25528737" TargetMode="External"/><Relationship Id="rId23" Type="http://schemas.openxmlformats.org/officeDocument/2006/relationships/hyperlink" Target="http://www.nevo.co.il/case/26913995" TargetMode="External"/><Relationship Id="rId24" Type="http://schemas.openxmlformats.org/officeDocument/2006/relationships/hyperlink" Target="http://www.nevo.co.il/case/16913730" TargetMode="External"/><Relationship Id="rId25" Type="http://schemas.openxmlformats.org/officeDocument/2006/relationships/hyperlink" Target="http://www.nevo.co.il/case/28513828" TargetMode="External"/><Relationship Id="rId26" Type="http://schemas.openxmlformats.org/officeDocument/2006/relationships/hyperlink" Target="http://www.nevo.co.il/case/26913995" TargetMode="External"/><Relationship Id="rId27" Type="http://schemas.openxmlformats.org/officeDocument/2006/relationships/hyperlink" Target="http://www.nevo.co.il/case/26592571" TargetMode="External"/><Relationship Id="rId28" Type="http://schemas.openxmlformats.org/officeDocument/2006/relationships/hyperlink" Target="http://www.nevo.co.il/case/28687337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2023-09-28T10:56:00Z</dcterms:created>
  <dc:creator> </dc:creator>
  <dc:description/>
  <cp:keywords/>
  <dc:language>en-IL</dc:language>
  <cp:lastModifiedBy>h1</cp:lastModifiedBy>
  <cp:lastPrinted>2022-09-15T10:21:00Z</cp:lastPrinted>
  <dcterms:modified xsi:type="dcterms:W3CDTF">2023-09-28T10:56:00Z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גולן גד אטון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27894608;27911638:2;28152132:2;28452933;27305799;5568354;27933514;11273152;27499246;28513828:2;26986974;27491153;25528737;26913995:2;16913730;26592571;28687337</vt:lpwstr>
  </property>
  <property fmtid="{D5CDD505-2E9C-101B-9397-08002B2CF9AE}" pid="9" name="CITY">
    <vt:lpwstr>מרכז</vt:lpwstr>
  </property>
  <property fmtid="{D5CDD505-2E9C-101B-9397-08002B2CF9AE}" pid="10" name="DATE">
    <vt:lpwstr>20220915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מרב גרינברג</vt:lpwstr>
  </property>
  <property fmtid="{D5CDD505-2E9C-101B-9397-08002B2CF9AE}" pid="14" name="LAWLISTTMP1">
    <vt:lpwstr>70301/144.a</vt:lpwstr>
  </property>
  <property fmtid="{D5CDD505-2E9C-101B-9397-08002B2CF9AE}" pid="15" name="LAWYER">
    <vt:lpwstr>בן אסולין;ניר דוד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42197</vt:lpwstr>
  </property>
  <property fmtid="{D5CDD505-2E9C-101B-9397-08002B2CF9AE}" pid="22" name="NEWPARTB">
    <vt:lpwstr>05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390020220915</vt:lpwstr>
  </property>
  <property fmtid="{D5CDD505-2E9C-101B-9397-08002B2CF9AE}" pid="34" name="TYPE_N_DATE">
    <vt:lpwstr>39020220915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