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4248-06-16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צרויה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ארמנד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צרויה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גורני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ר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9.5.16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פולימרי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מיתממת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להצהרה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כתקין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להתרשמותם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ובפאסיביות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ולהערכתם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והמניפולטיבי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קונקרטית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להישנותן</w:t>
      </w:r>
      <w:r>
        <w:rPr>
          <w:rFonts w:cs="David" w:ascii="David" w:hAnsi="David"/>
          <w:color w:val="000000"/>
          <w:rtl w:val="true"/>
        </w:rPr>
        <w:t xml:space="preserve">. 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1980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בשוגג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מהנחיה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המוצג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קונקרטית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מגבילים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בפרנסתו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תחכום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סלימאן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19.1.14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טומנות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לקיפוח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>, 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ודוק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ופחד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color w:val="000000"/>
        </w:rPr>
        <w:t>49160-11-15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10.4.16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24.8.14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לשטיח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color w:val="0000FF"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מרכז–לוד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18780-06-14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עאזם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39796-06-12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50329-10-15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tl w:val="true"/>
        </w:rPr>
        <w:t xml:space="preserve">,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-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12058-07-12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זמירו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21.10.12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9.5.16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אוטומטי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תואמים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לשפוך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מיתממת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וטשטש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ומעורבות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בשולי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שהפרקליטות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ההנחיה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עקרונות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9.5.16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18.5.16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1287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יתייצב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לריצוי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מאסרו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ביום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1.3.17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10:00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כשברשותו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תעודת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דרכון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לתאם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הכניסה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כולל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האפשרות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מוקדם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עם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ענף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אבחון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ומיון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ס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טלפון</w:t>
      </w:r>
      <w:r>
        <w:rPr>
          <w:rFonts w:cs="David" w:ascii="David" w:hAnsi="David"/>
          <w:color w:val="000000"/>
          <w:rtl w:val="true"/>
          <w:lang w:eastAsia="he-IL"/>
        </w:rPr>
        <w:t xml:space="preserve">: </w:t>
      </w:r>
      <w:r>
        <w:rPr>
          <w:rFonts w:cs="David" w:ascii="David" w:hAnsi="David"/>
          <w:color w:val="000000"/>
          <w:lang w:eastAsia="he-IL"/>
        </w:rPr>
        <w:t>08-9787377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cs="David" w:ascii="David" w:hAnsi="David"/>
          <w:color w:val="000000"/>
          <w:lang w:eastAsia="he-IL"/>
        </w:rPr>
        <w:t>08-9787336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הנשק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והתחמושת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יחולטו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 התייצבות הנאשם לתחילת ריצוי מאסרו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יגיש 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כ הנאשם הודעה על כך לבית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ובהתאם לכך יושבו ההפקדות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22840-05-16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36435-05-16</w:t>
        </w:r>
      </w:hyperlink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למפקיד בכפוף לכל הוראה חוקית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התייצבות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 </w:t>
      </w:r>
      <w:r>
        <w:rPr>
          <w:rFonts w:ascii="David" w:hAnsi="David"/>
          <w:color w:val="000000"/>
          <w:rtl w:val="true"/>
          <w:lang w:eastAsia="he-IL"/>
        </w:rPr>
        <w:t>למאסר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יגיש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כוחו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הודעה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ובכפוף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לכך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תושב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ההפקדה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בהליך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למפקיד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בכפוף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לכל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הוראה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חוקית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וזאת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>.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עד להתייצבות הערבויות יוותרו על כנן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/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4248-06-16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אדיר ארמנד צרויה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20723375" TargetMode="External"/><Relationship Id="rId12" Type="http://schemas.openxmlformats.org/officeDocument/2006/relationships/hyperlink" Target="http://www.nevo.co.il/case/18086234" TargetMode="External"/><Relationship Id="rId13" Type="http://schemas.openxmlformats.org/officeDocument/2006/relationships/hyperlink" Target="http://www.nevo.co.il/case/16913730" TargetMode="External"/><Relationship Id="rId14" Type="http://schemas.openxmlformats.org/officeDocument/2006/relationships/hyperlink" Target="http://www.nevo.co.il/case/20531134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21475135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case/16992066" TargetMode="External"/><Relationship Id="rId20" Type="http://schemas.openxmlformats.org/officeDocument/2006/relationships/hyperlink" Target="http://www.nevo.co.il/case/3507722" TargetMode="External"/><Relationship Id="rId21" Type="http://schemas.openxmlformats.org/officeDocument/2006/relationships/hyperlink" Target="http://www.nevo.co.il/case/20658167" TargetMode="External"/><Relationship Id="rId22" Type="http://schemas.openxmlformats.org/officeDocument/2006/relationships/hyperlink" Target="http://www.nevo.co.il/case/3835321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1567170" TargetMode="External"/><Relationship Id="rId29" Type="http://schemas.openxmlformats.org/officeDocument/2006/relationships/hyperlink" Target="http://www.nevo.co.il/case/21573715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2018-04-15T08:59:00Z</dcterms:created>
  <dc:creator> </dc:creator>
  <dc:description/>
  <cp:keywords/>
  <dc:language>en-IL</dc:language>
  <cp:lastModifiedBy>run</cp:lastModifiedBy>
  <dcterms:modified xsi:type="dcterms:W3CDTF">2018-04-15T08:59:00Z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אדיר ארמנד צרויה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7791493;20723375;18086234;16913730;20531134;6024035;6058757;21475135;5601503;16992066;3507722;20658167;3835321;21567170;21573715</vt:lpwstr>
  </property>
  <property fmtid="{D5CDD505-2E9C-101B-9397-08002B2CF9AE}" pid="9" name="CITY">
    <vt:lpwstr>רמ'</vt:lpwstr>
  </property>
  <property fmtid="{D5CDD505-2E9C-101B-9397-08002B2CF9AE}" pid="10" name="DATE">
    <vt:lpwstr>20161229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70301/144.a:2;040i;40jc;40ja</vt:lpwstr>
  </property>
  <property fmtid="{D5CDD505-2E9C-101B-9397-08002B2CF9AE}" pid="15" name="LAWYER">
    <vt:lpwstr>ינאי גורני;בני נהרי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4248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380020161229</vt:lpwstr>
  </property>
  <property fmtid="{D5CDD505-2E9C-101B-9397-08002B2CF9AE}" pid="34" name="TYPE_N_DATE">
    <vt:lpwstr>38020161229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