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42697-05-18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בוקאעי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טובי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בוקאעי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יוסי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גימפל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ליאוניד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פרחובניק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>ס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ציבורית</w:t>
      </w:r>
      <w:r>
        <w:rPr>
          <w:b w:val="false"/>
          <w:bCs w:val="false"/>
          <w:u w:val="none"/>
          <w:rtl w:val="true"/>
        </w:rPr>
        <w:t xml:space="preserve">)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באמצעות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הליווי</w:t>
      </w:r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ט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Times New Roman"/>
          <w:b w:val="false"/>
          <w:bCs w:val="false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start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29.4.18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כאבול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האקדח</w:t>
      </w:r>
      <w:r>
        <w:rPr>
          <w:rtl w:val="true"/>
        </w:rPr>
        <w:t xml:space="preserve">")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תרמיל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תרמילים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bookmarkStart w:id="9" w:name="ABSTRACT_END"/>
      <w:bookmarkEnd w:id="9"/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ביטחונו</w:t>
      </w:r>
      <w:r>
        <w:rPr>
          <w:rtl w:val="true"/>
        </w:rPr>
        <w:t xml:space="preserve">, </w:t>
      </w:r>
      <w:r>
        <w:rPr>
          <w:rtl w:val="true"/>
        </w:rPr>
        <w:t>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למיניהם</w:t>
      </w:r>
      <w:r>
        <w:rPr>
          <w:rtl w:val="true"/>
        </w:rPr>
        <w:t xml:space="preserve">, </w:t>
      </w:r>
      <w:r>
        <w:rPr>
          <w:rtl w:val="true"/>
        </w:rPr>
        <w:t>תורמת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מקרבת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ונפגע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האובדני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29.4.18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ובריאותו</w:t>
      </w:r>
      <w:r>
        <w:rPr>
          <w:rtl w:val="true"/>
        </w:rPr>
        <w:t xml:space="preserve">.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והוקעה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.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השורש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134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16.7.18</w:t>
      </w:r>
      <w:r>
        <w:rPr>
          <w:rtl w:val="true"/>
        </w:rPr>
        <w:t xml:space="preserve">).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5.6.17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Style15"/>
        <w:ind w:end="864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rtl w:val="true"/>
        </w:rPr>
        <w:t>"</w:t>
      </w:r>
      <w:r>
        <w:rPr>
          <w:i w:val="false"/>
          <w:i w:val="false"/>
          <w:iCs w:val="false"/>
          <w:rtl w:val="true"/>
        </w:rPr>
        <w:t>נוכח היקפן המתרחב של עבירות המבוצעות בנשק בכלל וסחר בנשק בפרט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וזמינותו המדאיגה של נשק בלתי חוקי במחוזותינו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התעורר הצורך להחמיר בעונשי המאסר המוטלים בעבירות אלה</w:t>
      </w:r>
      <w:r>
        <w:rPr>
          <w:i w:val="false"/>
          <w:iCs w:val="false"/>
          <w:rtl w:val="true"/>
        </w:rPr>
        <w:t xml:space="preserve">. </w:t>
      </w:r>
      <w:r>
        <w:rPr>
          <w:i w:val="false"/>
          <w:i w:val="false"/>
          <w:iCs w:val="false"/>
          <w:rtl w:val="true"/>
        </w:rPr>
        <w:t xml:space="preserve">אכן </w:t>
      </w:r>
      <w:r>
        <w:rPr>
          <w:i w:val="false"/>
          <w:iCs w:val="false"/>
          <w:rtl w:val="true"/>
        </w:rPr>
        <w:t>'</w:t>
      </w:r>
      <w:r>
        <w:rPr>
          <w:i w:val="false"/>
          <w:i w:val="false"/>
          <w:iCs w:val="false"/>
          <w:rtl w:val="true"/>
        </w:rPr>
        <w:t>התגלגלותם</w:t>
      </w:r>
      <w:r>
        <w:rPr>
          <w:i w:val="false"/>
          <w:iCs w:val="false"/>
          <w:rtl w:val="true"/>
        </w:rPr>
        <w:t xml:space="preserve">' </w:t>
      </w:r>
      <w:r>
        <w:rPr>
          <w:i w:val="false"/>
          <w:i w:val="false"/>
          <w:iCs w:val="false"/>
          <w:rtl w:val="true"/>
        </w:rPr>
        <w:t>של כלי נשק מיד ליד ללא פיקוח עלול להוביל להגעתם בדרך לא דרך לגורמים פליליים ועוינים</w:t>
      </w:r>
      <w:r>
        <w:rPr>
          <w:i w:val="false"/>
          <w:iCs w:val="false"/>
          <w:rtl w:val="true"/>
        </w:rPr>
        <w:t xml:space="preserve">. </w:t>
      </w:r>
      <w:r>
        <w:rPr>
          <w:i w:val="false"/>
          <w:i w:val="false"/>
          <w:iCs w:val="false"/>
          <w:rtl w:val="true"/>
        </w:rPr>
        <w:t>אין לדעת מה יעלה בגורלם של כלי נשק אלה ולאילו תוצאות הרסניות יובילו – בסכסוך ברחוב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בקטטה בין ניצים ואף בתוך המשפחה פנימה</w:t>
      </w:r>
      <w:r>
        <w:rPr>
          <w:i w:val="false"/>
          <w:iCs w:val="false"/>
          <w:rtl w:val="true"/>
        </w:rPr>
        <w:t xml:space="preserve">. </w:t>
      </w:r>
      <w:r>
        <w:rPr>
          <w:i w:val="false"/>
          <w:i w:val="false"/>
          <w:iCs w:val="false"/>
          <w:rtl w:val="true"/>
        </w:rPr>
        <w:t>הסכנה הנשקפת לציבור כתוצאה מעבירות אלה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לצד הממדים שאליהם הגיעו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הגנה על שלום הציבור מפני פגיעות בגוף או בנפש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ולהחמיר את עונשי המאסר המוטלים בגין פעילות עבריינית זאת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בהדרגה</w:t>
      </w:r>
      <w:r>
        <w:rPr>
          <w:i w:val="false"/>
          <w:iCs w:val="false"/>
          <w:rtl w:val="true"/>
        </w:rPr>
        <w:t xml:space="preserve">". </w:t>
      </w:r>
    </w:p>
    <w:p>
      <w:pPr>
        <w:pStyle w:val="Normal"/>
        <w:spacing w:lineRule="auto" w:line="360"/>
        <w:ind w:hanging="1134" w:end="0"/>
        <w:jc w:val="both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Normal"/>
        <w:spacing w:lineRule="auto" w:line="360"/>
        <w:ind w:hanging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134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9702/16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סאמי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אלוליאיה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13.9.17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Style15"/>
        <w:ind w:end="864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rtl w:val="true"/>
        </w:rPr>
        <w:t>"</w:t>
      </w:r>
      <w:r>
        <w:rPr>
          <w:i w:val="false"/>
          <w:i w:val="false"/>
          <w:iCs w:val="false"/>
          <w:rtl w:val="true"/>
        </w:rPr>
        <w:t>ככלל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בפסיקת בית משפט זה באה לידי ביטוי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בשורה ארוכה של פסקי דין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 xml:space="preserve">מדיניות של החמרה בענישה בעבירות נשק </w:t>
      </w:r>
      <w:r>
        <w:rPr>
          <w:i w:val="false"/>
          <w:iCs w:val="false"/>
          <w:color w:val="000000"/>
          <w:rtl w:val="true"/>
        </w:rPr>
        <w:t>(</w:t>
      </w:r>
      <w:r>
        <w:rPr>
          <w:i w:val="false"/>
          <w:i w:val="false"/>
          <w:iCs w:val="false"/>
          <w:color w:val="000000"/>
          <w:rtl w:val="true"/>
        </w:rPr>
        <w:t>ראו למשל</w:t>
      </w:r>
      <w:r>
        <w:rPr>
          <w:i w:val="false"/>
          <w:iCs w:val="false"/>
          <w:color w:val="000000"/>
          <w:rtl w:val="true"/>
        </w:rPr>
        <w:t xml:space="preserve">: </w:t>
      </w:r>
      <w:hyperlink r:id="rId18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4945/13</w:t>
        </w:r>
      </w:hyperlink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מדינת ישראל נ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 xml:space="preserve">עבד אלכרים סלימאן </w:t>
      </w:r>
      <w:r>
        <w:rPr>
          <w:i w:val="false"/>
          <w:iCs w:val="false"/>
          <w:color w:val="000000"/>
          <w:rtl w:val="true"/>
        </w:rPr>
        <w:t>[</w:t>
      </w:r>
      <w:r>
        <w:rPr>
          <w:i w:val="false"/>
          <w:i w:val="false"/>
          <w:iCs w:val="false"/>
          <w:color w:val="000000"/>
          <w:rtl w:val="true"/>
        </w:rPr>
        <w:t>פורסם בנבו</w:t>
      </w:r>
      <w:r>
        <w:rPr>
          <w:i w:val="false"/>
          <w:iCs w:val="false"/>
          <w:color w:val="000000"/>
          <w:rtl w:val="true"/>
        </w:rPr>
        <w:t>] (</w:t>
      </w:r>
      <w:r>
        <w:rPr>
          <w:i w:val="false"/>
          <w:iCs w:val="false"/>
          <w:color w:val="000000"/>
        </w:rPr>
        <w:t>19.1.2014</w:t>
      </w:r>
      <w:r>
        <w:rPr>
          <w:i w:val="false"/>
          <w:iCs w:val="false"/>
          <w:color w:val="000000"/>
          <w:rtl w:val="true"/>
        </w:rPr>
        <w:t xml:space="preserve">); </w:t>
      </w:r>
      <w:hyperlink r:id="rId19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2251/11</w:t>
        </w:r>
      </w:hyperlink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נפאע נ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>מדינת ישראל</w:t>
      </w:r>
      <w:r>
        <w:rPr>
          <w:i w:val="false"/>
          <w:iCs w:val="false"/>
          <w:color w:val="000000"/>
          <w:rtl w:val="true"/>
        </w:rPr>
        <w:t>, [</w:t>
      </w:r>
      <w:r>
        <w:rPr>
          <w:i w:val="false"/>
          <w:i w:val="false"/>
          <w:iCs w:val="false"/>
          <w:color w:val="000000"/>
          <w:rtl w:val="true"/>
        </w:rPr>
        <w:t>פורסם בנבו</w:t>
      </w:r>
      <w:r>
        <w:rPr>
          <w:i w:val="false"/>
          <w:iCs w:val="false"/>
          <w:color w:val="000000"/>
          <w:rtl w:val="true"/>
        </w:rPr>
        <w:t xml:space="preserve">] </w:t>
      </w:r>
      <w:r>
        <w:rPr>
          <w:i w:val="false"/>
          <w:i w:val="false"/>
          <w:iCs w:val="false"/>
          <w:color w:val="000000"/>
          <w:rtl w:val="true"/>
        </w:rPr>
        <w:t xml:space="preserve">בפסקה </w:t>
      </w:r>
      <w:r>
        <w:rPr>
          <w:i w:val="false"/>
          <w:iCs w:val="false"/>
          <w:color w:val="000000"/>
        </w:rPr>
        <w:t>7</w:t>
      </w:r>
      <w:r>
        <w:rPr>
          <w:i w:val="false"/>
          <w:iCs w:val="false"/>
          <w:color w:val="000000"/>
          <w:rtl w:val="true"/>
        </w:rPr>
        <w:t xml:space="preserve"> (</w:t>
      </w:r>
      <w:r>
        <w:rPr>
          <w:i w:val="false"/>
          <w:iCs w:val="false"/>
          <w:color w:val="000000"/>
        </w:rPr>
        <w:t>4.12.2011</w:t>
      </w:r>
      <w:r>
        <w:rPr>
          <w:i w:val="false"/>
          <w:iCs w:val="false"/>
          <w:color w:val="000000"/>
          <w:rtl w:val="true"/>
        </w:rPr>
        <w:t xml:space="preserve">); </w:t>
      </w:r>
      <w:hyperlink r:id="rId20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6371/11</w:t>
        </w:r>
      </w:hyperlink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מדינת ישראל נ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 xml:space="preserve">הייבי </w:t>
      </w:r>
      <w:r>
        <w:rPr>
          <w:i w:val="false"/>
          <w:iCs w:val="false"/>
          <w:color w:val="000000"/>
          <w:rtl w:val="true"/>
        </w:rPr>
        <w:t>[</w:t>
      </w:r>
      <w:r>
        <w:rPr>
          <w:i w:val="false"/>
          <w:i w:val="false"/>
          <w:iCs w:val="false"/>
          <w:color w:val="000000"/>
          <w:rtl w:val="true"/>
        </w:rPr>
        <w:t>פורסם בנבו</w:t>
      </w:r>
      <w:r>
        <w:rPr>
          <w:i w:val="false"/>
          <w:iCs w:val="false"/>
          <w:color w:val="000000"/>
          <w:rtl w:val="true"/>
        </w:rPr>
        <w:t>] (</w:t>
      </w:r>
      <w:r>
        <w:rPr>
          <w:i w:val="false"/>
          <w:iCs w:val="false"/>
          <w:color w:val="000000"/>
        </w:rPr>
        <w:t>18.12.2011</w:t>
      </w:r>
      <w:r>
        <w:rPr>
          <w:i w:val="false"/>
          <w:iCs w:val="false"/>
          <w:color w:val="000000"/>
          <w:rtl w:val="true"/>
        </w:rPr>
        <w:t xml:space="preserve">); </w:t>
      </w:r>
      <w:hyperlink r:id="rId21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1323/13</w:t>
        </w:r>
      </w:hyperlink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חסן נ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 xml:space="preserve">מדינת ישראל </w:t>
      </w:r>
      <w:r>
        <w:rPr>
          <w:i w:val="false"/>
          <w:iCs w:val="false"/>
          <w:color w:val="000000"/>
          <w:rtl w:val="true"/>
        </w:rPr>
        <w:t>[</w:t>
      </w:r>
      <w:r>
        <w:rPr>
          <w:i w:val="false"/>
          <w:i w:val="false"/>
          <w:iCs w:val="false"/>
          <w:color w:val="000000"/>
          <w:rtl w:val="true"/>
        </w:rPr>
        <w:t>פורסם בנבו</w:t>
      </w:r>
      <w:r>
        <w:rPr>
          <w:i w:val="false"/>
          <w:iCs w:val="false"/>
          <w:color w:val="000000"/>
          <w:rtl w:val="true"/>
        </w:rPr>
        <w:t>] (</w:t>
      </w:r>
      <w:r>
        <w:rPr>
          <w:i w:val="false"/>
          <w:iCs w:val="false"/>
          <w:color w:val="000000"/>
        </w:rPr>
        <w:t>5.6.2013</w:t>
      </w:r>
      <w:r>
        <w:rPr>
          <w:i w:val="false"/>
          <w:iCs w:val="false"/>
          <w:color w:val="000000"/>
          <w:rtl w:val="true"/>
        </w:rPr>
        <w:t xml:space="preserve">)). </w:t>
      </w:r>
      <w:r>
        <w:rPr>
          <w:i w:val="false"/>
          <w:i w:val="false"/>
          <w:iCs w:val="false"/>
          <w:color w:val="000000"/>
          <w:rtl w:val="true"/>
        </w:rPr>
        <w:t>גם כאשר מדובר בעבירות של החזקה ונשיאת נשק שלא כדין בלבד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בית משפט זה עמד לא פעם על החומרה הרבה הטמונה בעבירות אלו ועל הצורך להרתיע מפניהן בדרך של הטלת עונשי מאסר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 xml:space="preserve">גם על נאשם שאין לו עבר פלילי מכביד </w:t>
      </w:r>
      <w:r>
        <w:rPr>
          <w:i w:val="false"/>
          <w:iCs w:val="false"/>
          <w:color w:val="000000"/>
          <w:rtl w:val="true"/>
        </w:rPr>
        <w:t>(</w:t>
      </w:r>
      <w:r>
        <w:rPr>
          <w:i w:val="false"/>
          <w:i w:val="false"/>
          <w:iCs w:val="false"/>
          <w:color w:val="000000"/>
          <w:rtl w:val="true"/>
        </w:rPr>
        <w:t>וראו למשל</w:t>
      </w:r>
      <w:r>
        <w:rPr>
          <w:i w:val="false"/>
          <w:iCs w:val="false"/>
          <w:color w:val="000000"/>
          <w:rtl w:val="true"/>
        </w:rPr>
        <w:t xml:space="preserve">: </w:t>
      </w:r>
      <w:hyperlink r:id="rId22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8846/15</w:t>
        </w:r>
      </w:hyperlink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דראז נ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 xml:space="preserve">מדינת ישראל </w:t>
      </w:r>
      <w:r>
        <w:rPr>
          <w:i w:val="false"/>
          <w:iCs w:val="false"/>
          <w:color w:val="000000"/>
          <w:rtl w:val="true"/>
        </w:rPr>
        <w:t>[</w:t>
      </w:r>
      <w:r>
        <w:rPr>
          <w:i w:val="false"/>
          <w:i w:val="false"/>
          <w:iCs w:val="false"/>
          <w:color w:val="000000"/>
          <w:rtl w:val="true"/>
        </w:rPr>
        <w:t>פורסם בנבו</w:t>
      </w:r>
      <w:r>
        <w:rPr>
          <w:i w:val="false"/>
          <w:iCs w:val="false"/>
          <w:color w:val="000000"/>
          <w:rtl w:val="true"/>
        </w:rPr>
        <w:t>] (</w:t>
      </w:r>
      <w:r>
        <w:rPr>
          <w:i w:val="false"/>
          <w:iCs w:val="false"/>
          <w:color w:val="000000"/>
        </w:rPr>
        <w:t>13.3.2016</w:t>
      </w:r>
      <w:r>
        <w:rPr>
          <w:i w:val="false"/>
          <w:iCs w:val="false"/>
          <w:color w:val="000000"/>
          <w:rtl w:val="true"/>
        </w:rPr>
        <w:t xml:space="preserve">); </w:t>
      </w:r>
      <w:hyperlink r:id="rId23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5681/14</w:t>
        </w:r>
      </w:hyperlink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מדינת ישראל נ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 xml:space="preserve">טאטור </w:t>
      </w:r>
      <w:r>
        <w:rPr>
          <w:i w:val="false"/>
          <w:iCs w:val="false"/>
          <w:color w:val="000000"/>
          <w:rtl w:val="true"/>
        </w:rPr>
        <w:t>[</w:t>
      </w:r>
      <w:r>
        <w:rPr>
          <w:i w:val="false"/>
          <w:i w:val="false"/>
          <w:iCs w:val="false"/>
          <w:color w:val="000000"/>
          <w:rtl w:val="true"/>
        </w:rPr>
        <w:t>פורסם בנבו</w:t>
      </w:r>
      <w:r>
        <w:rPr>
          <w:i w:val="false"/>
          <w:iCs w:val="false"/>
          <w:color w:val="000000"/>
          <w:rtl w:val="true"/>
        </w:rPr>
        <w:t>] (</w:t>
      </w:r>
      <w:r>
        <w:rPr>
          <w:i w:val="false"/>
          <w:iCs w:val="false"/>
          <w:color w:val="000000"/>
        </w:rPr>
        <w:t>1.2.2015</w:t>
      </w:r>
      <w:r>
        <w:rPr>
          <w:i w:val="false"/>
          <w:iCs w:val="false"/>
          <w:color w:val="000000"/>
          <w:rtl w:val="true"/>
        </w:rPr>
        <w:t xml:space="preserve">)). </w:t>
      </w:r>
      <w:r>
        <w:rPr>
          <w:i w:val="false"/>
          <w:i w:val="false"/>
          <w:iCs w:val="false"/>
          <w:color w:val="000000"/>
          <w:rtl w:val="true"/>
        </w:rPr>
        <w:t>הכלל של השתת מאסר בפועל לתקופה משמעותית בעבירת החזקת נשק חל גם כאשר מדובר בעבירות שאינן במדרג הגבוה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 xml:space="preserve">כמו מקרה זה </w:t>
      </w:r>
      <w:r>
        <w:rPr>
          <w:i w:val="false"/>
          <w:iCs w:val="false"/>
          <w:color w:val="000000"/>
          <w:rtl w:val="true"/>
        </w:rPr>
        <w:t>(</w:t>
      </w:r>
      <w:hyperlink r:id="rId24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5220/09</w:t>
        </w:r>
      </w:hyperlink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עוואודה נ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 xml:space="preserve">מדינת ישראל </w:t>
      </w:r>
      <w:r>
        <w:rPr>
          <w:i w:val="false"/>
          <w:iCs w:val="false"/>
          <w:color w:val="000000"/>
          <w:rtl w:val="true"/>
        </w:rPr>
        <w:t>[</w:t>
      </w:r>
      <w:r>
        <w:rPr>
          <w:i w:val="false"/>
          <w:i w:val="false"/>
          <w:iCs w:val="false"/>
          <w:color w:val="000000"/>
          <w:rtl w:val="true"/>
        </w:rPr>
        <w:t>פורסם בנבו</w:t>
      </w:r>
      <w:r>
        <w:rPr>
          <w:i w:val="false"/>
          <w:iCs w:val="false"/>
          <w:color w:val="000000"/>
          <w:rtl w:val="true"/>
        </w:rPr>
        <w:t>] (</w:t>
      </w:r>
      <w:r>
        <w:rPr>
          <w:i w:val="false"/>
          <w:iCs w:val="false"/>
          <w:color w:val="000000"/>
        </w:rPr>
        <w:t>30.12.2009</w:t>
      </w:r>
      <w:r>
        <w:rPr>
          <w:i w:val="false"/>
          <w:iCs w:val="false"/>
          <w:color w:val="000000"/>
          <w:rtl w:val="true"/>
        </w:rPr>
        <w:t xml:space="preserve">); </w:t>
      </w:r>
      <w:hyperlink r:id="rId25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2398/14</w:t>
        </w:r>
      </w:hyperlink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אלהזייל נ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 xml:space="preserve">מדינת ישראל </w:t>
      </w:r>
      <w:r>
        <w:rPr>
          <w:i w:val="false"/>
          <w:iCs w:val="false"/>
          <w:color w:val="000000"/>
          <w:rtl w:val="true"/>
        </w:rPr>
        <w:t>[</w:t>
      </w:r>
      <w:r>
        <w:rPr>
          <w:i w:val="false"/>
          <w:i w:val="false"/>
          <w:iCs w:val="false"/>
          <w:color w:val="000000"/>
          <w:rtl w:val="true"/>
        </w:rPr>
        <w:t>פורסם בנבו</w:t>
      </w:r>
      <w:r>
        <w:rPr>
          <w:i w:val="false"/>
          <w:iCs w:val="false"/>
          <w:color w:val="000000"/>
          <w:rtl w:val="true"/>
        </w:rPr>
        <w:t>] (</w:t>
      </w:r>
      <w:r>
        <w:rPr>
          <w:i w:val="false"/>
          <w:iCs w:val="false"/>
          <w:color w:val="000000"/>
        </w:rPr>
        <w:t>8.7.2014</w:t>
      </w:r>
      <w:r>
        <w:rPr>
          <w:i w:val="false"/>
          <w:iCs w:val="false"/>
          <w:color w:val="000000"/>
          <w:rtl w:val="true"/>
        </w:rPr>
        <w:t xml:space="preserve">)). </w:t>
      </w:r>
      <w:r>
        <w:rPr>
          <w:i w:val="false"/>
          <w:i w:val="false"/>
          <w:iCs w:val="false"/>
          <w:color w:val="000000"/>
          <w:rtl w:val="true"/>
        </w:rPr>
        <w:t>במסגרת זו יש להביא בחשבון כי גם פעילות עבריינית הכוללת העברת כלי נשק ממקום למקום באופן בלתי חוקי לרשותו של הנאשם והחזקתו בו למשך זמן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ללא כל פיקוח ובקרה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עשויה להביא בסופו של יום לתוצאות הרות אסון</w:t>
      </w:r>
      <w:r>
        <w:rPr>
          <w:i w:val="false"/>
          <w:iCs w:val="false"/>
          <w:color w:val="000000"/>
          <w:rtl w:val="true"/>
        </w:rPr>
        <w:t xml:space="preserve">. </w:t>
      </w:r>
      <w:r>
        <w:rPr>
          <w:i w:val="false"/>
          <w:i w:val="false"/>
          <w:iCs w:val="false"/>
          <w:color w:val="000000"/>
          <w:rtl w:val="true"/>
        </w:rPr>
        <w:t>נוכח היקפן המתרחב של עבירות המבוצעות בנשק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החזקת נשק באופן בלתי חוקי תוך יצירת הפתח והאפשרות הזמינה לשימוש בו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 xml:space="preserve">מהווה סיכון של ממש לשלום הציבור </w:t>
      </w:r>
      <w:r>
        <w:rPr>
          <w:i w:val="false"/>
          <w:iCs w:val="false"/>
          <w:color w:val="000000"/>
          <w:rtl w:val="true"/>
        </w:rPr>
        <w:t>(</w:t>
      </w:r>
      <w:r>
        <w:rPr>
          <w:i w:val="false"/>
          <w:i w:val="false"/>
          <w:iCs w:val="false"/>
          <w:color w:val="000000"/>
          <w:rtl w:val="true"/>
        </w:rPr>
        <w:t>ראו גם</w:t>
      </w:r>
      <w:r>
        <w:rPr>
          <w:i w:val="false"/>
          <w:iCs w:val="false"/>
          <w:color w:val="000000"/>
          <w:rtl w:val="true"/>
        </w:rPr>
        <w:t xml:space="preserve">: </w:t>
      </w:r>
      <w:hyperlink r:id="rId26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1903/13</w:t>
        </w:r>
      </w:hyperlink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עיאשה נ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 xml:space="preserve">מדינת ישראל </w:t>
      </w:r>
      <w:r>
        <w:rPr>
          <w:i w:val="false"/>
          <w:iCs w:val="false"/>
          <w:color w:val="000000"/>
          <w:rtl w:val="true"/>
        </w:rPr>
        <w:t>[</w:t>
      </w:r>
      <w:r>
        <w:rPr>
          <w:i w:val="false"/>
          <w:i w:val="false"/>
          <w:iCs w:val="false"/>
          <w:color w:val="000000"/>
          <w:rtl w:val="true"/>
        </w:rPr>
        <w:t>פורסם בנבו</w:t>
      </w:r>
      <w:r>
        <w:rPr>
          <w:i w:val="false"/>
          <w:iCs w:val="false"/>
          <w:color w:val="000000"/>
          <w:rtl w:val="true"/>
        </w:rPr>
        <w:t>] (</w:t>
      </w:r>
      <w:r>
        <w:rPr>
          <w:i w:val="false"/>
          <w:iCs w:val="false"/>
          <w:color w:val="000000"/>
        </w:rPr>
        <w:t>14.7.2013</w:t>
      </w:r>
      <w:r>
        <w:rPr>
          <w:i w:val="false"/>
          <w:iCs w:val="false"/>
          <w:color w:val="000000"/>
          <w:rtl w:val="true"/>
        </w:rPr>
        <w:t xml:space="preserve">); </w:t>
      </w:r>
      <w:hyperlink r:id="rId27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1323/13</w:t>
        </w:r>
      </w:hyperlink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בעניין חסן הנ</w:t>
      </w:r>
      <w:r>
        <w:rPr>
          <w:i w:val="false"/>
          <w:iCs w:val="false"/>
          <w:color w:val="000000"/>
          <w:rtl w:val="true"/>
        </w:rPr>
        <w:t>"</w:t>
      </w:r>
      <w:r>
        <w:rPr>
          <w:i w:val="false"/>
          <w:i w:val="false"/>
          <w:iCs w:val="false"/>
          <w:color w:val="000000"/>
          <w:rtl w:val="true"/>
        </w:rPr>
        <w:t>ל</w:t>
      </w:r>
      <w:r>
        <w:rPr>
          <w:i w:val="false"/>
          <w:iCs w:val="false"/>
          <w:color w:val="000000"/>
          <w:rtl w:val="true"/>
        </w:rPr>
        <w:t xml:space="preserve">). </w:t>
      </w:r>
      <w:r>
        <w:rPr>
          <w:i w:val="false"/>
          <w:i w:val="false"/>
          <w:iCs w:val="false"/>
          <w:color w:val="000000"/>
          <w:rtl w:val="true"/>
        </w:rPr>
        <w:t>זאת על אחת כמה וכמה שעה שמדובר בסוג של כלי נשק שעשוי להביא למותו של אדם</w:t>
      </w:r>
      <w:r>
        <w:rPr>
          <w:i w:val="false"/>
          <w:iCs w:val="false"/>
          <w:color w:val="000000"/>
          <w:rtl w:val="true"/>
        </w:rPr>
        <w:t>.</w:t>
      </w:r>
    </w:p>
    <w:p>
      <w:pPr>
        <w:pStyle w:val="Normal"/>
        <w:spacing w:lineRule="auto" w:line="360"/>
        <w:ind w:hanging="1134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8.3.2017</w:t>
      </w:r>
      <w:r>
        <w:rPr>
          <w:rtl w:val="true"/>
        </w:rPr>
        <w:t>):</w:t>
      </w:r>
    </w:p>
    <w:p>
      <w:pPr>
        <w:pStyle w:val="Style15"/>
        <w:ind w:end="864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rtl w:val="true"/>
        </w:rPr>
        <w:t>"</w:t>
      </w:r>
      <w:r>
        <w:rPr>
          <w:i w:val="false"/>
          <w:i w:val="false"/>
          <w:iCs w:val="false"/>
          <w:rtl w:val="true"/>
        </w:rPr>
        <w:t>בית משפט זה עמד לא פעם על חומרתן של עבירות נשק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 xml:space="preserve">ובכללן עבירות של </w:t>
      </w:r>
    </w:p>
    <w:p>
      <w:pPr>
        <w:pStyle w:val="Style15"/>
        <w:ind w:end="864"/>
        <w:jc w:val="both"/>
        <w:rPr>
          <w:i w:val="false"/>
          <w:i w:val="false"/>
          <w:iCs w:val="false"/>
        </w:rPr>
      </w:pPr>
      <w:r>
        <w:rPr>
          <w:i w:val="false"/>
          <w:i w:val="false"/>
          <w:iCs w:val="false"/>
          <w:rtl w:val="true"/>
        </w:rPr>
        <w:t>החזקת ונשיאת נשק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תוך שהוא מציין את חומרת המעשה ואת פוטנציאל הנזק הכרוך בו</w:t>
      </w:r>
      <w:r>
        <w:rPr>
          <w:i w:val="false"/>
          <w:iCs w:val="false"/>
          <w:rtl w:val="true"/>
        </w:rPr>
        <w:t xml:space="preserve">. </w:t>
      </w:r>
      <w:r>
        <w:rPr>
          <w:i w:val="false"/>
          <w:i w:val="false"/>
          <w:iCs w:val="false"/>
          <w:rtl w:val="true"/>
        </w:rPr>
        <w:t>נשק המתגלגל מיד ליד עלול להגיע לידי גורמים עברייניים או לפעילות ביטחונית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>פגיעתו הרעה מורגשת ומהווה איום על שלום הציבור כולו</w:t>
      </w:r>
      <w:r>
        <w:rPr>
          <w:i w:val="false"/>
          <w:iCs w:val="false"/>
          <w:rtl w:val="true"/>
        </w:rPr>
        <w:t xml:space="preserve">; </w:t>
      </w:r>
      <w:r>
        <w:rPr>
          <w:i w:val="false"/>
          <w:i w:val="false"/>
          <w:iCs w:val="false"/>
          <w:rtl w:val="true"/>
        </w:rPr>
        <w:t xml:space="preserve">כתוצאה מכך גדל ההכרח להרתיע את היחיד והרבים מפני עיסוק בכך </w:t>
      </w:r>
      <w:r>
        <w:rPr>
          <w:i w:val="false"/>
          <w:iCs w:val="false"/>
          <w:rtl w:val="true"/>
        </w:rPr>
        <w:t>(</w:t>
      </w:r>
      <w:r>
        <w:rPr>
          <w:i w:val="false"/>
          <w:i w:val="false"/>
          <w:iCs w:val="false"/>
          <w:rtl w:val="true"/>
        </w:rPr>
        <w:t>ראו למשל</w:t>
      </w:r>
      <w:r>
        <w:rPr>
          <w:i w:val="false"/>
          <w:iCs w:val="false"/>
          <w:rtl w:val="true"/>
        </w:rPr>
        <w:t xml:space="preserve">: </w:t>
      </w:r>
      <w:hyperlink r:id="rId29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2422/14</w:t>
        </w:r>
      </w:hyperlink>
      <w:r>
        <w:rPr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ח</w:t>
      </w:r>
      <w:r>
        <w:rPr>
          <w:i w:val="false"/>
          <w:iCs w:val="false"/>
          <w:rtl w:val="true"/>
        </w:rPr>
        <w:t>'</w:t>
      </w:r>
      <w:r>
        <w:rPr>
          <w:i w:val="false"/>
          <w:i w:val="false"/>
          <w:iCs w:val="false"/>
          <w:rtl w:val="true"/>
        </w:rPr>
        <w:t>דר נ</w:t>
      </w:r>
      <w:r>
        <w:rPr>
          <w:i w:val="false"/>
          <w:iCs w:val="false"/>
          <w:rtl w:val="true"/>
        </w:rPr>
        <w:t xml:space="preserve">' </w:t>
      </w:r>
      <w:r>
        <w:rPr>
          <w:i w:val="false"/>
          <w:i w:val="false"/>
          <w:iCs w:val="false"/>
          <w:rtl w:val="true"/>
        </w:rPr>
        <w:t>מדינת ישראל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 xml:space="preserve">פסקה </w:t>
      </w:r>
      <w:r>
        <w:rPr>
          <w:i w:val="false"/>
          <w:iCs w:val="false"/>
        </w:rPr>
        <w:t>10</w:t>
      </w:r>
      <w:r>
        <w:rPr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 xml:space="preserve">וההפניות שם </w:t>
      </w:r>
      <w:r>
        <w:rPr>
          <w:i w:val="false"/>
          <w:iCs w:val="false"/>
          <w:rtl w:val="true"/>
        </w:rPr>
        <w:t>(</w:t>
      </w:r>
      <w:r>
        <w:rPr>
          <w:i w:val="false"/>
          <w:iCs w:val="false"/>
        </w:rPr>
        <w:t>21.12.2014</w:t>
      </w:r>
      <w:r>
        <w:rPr>
          <w:i w:val="false"/>
          <w:iCs w:val="false"/>
          <w:rtl w:val="true"/>
        </w:rPr>
        <w:t xml:space="preserve">); </w:t>
      </w:r>
      <w:hyperlink r:id="rId30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2918/13</w:t>
        </w:r>
      </w:hyperlink>
      <w:r>
        <w:rPr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דבר נ</w:t>
      </w:r>
      <w:r>
        <w:rPr>
          <w:i w:val="false"/>
          <w:iCs w:val="false"/>
          <w:rtl w:val="true"/>
        </w:rPr>
        <w:t xml:space="preserve">' </w:t>
      </w:r>
      <w:r>
        <w:rPr>
          <w:i w:val="false"/>
          <w:i w:val="false"/>
          <w:iCs w:val="false"/>
          <w:rtl w:val="true"/>
        </w:rPr>
        <w:t>מדינת ישראל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 xml:space="preserve">פסקה </w:t>
      </w:r>
      <w:r>
        <w:rPr>
          <w:i w:val="false"/>
          <w:iCs w:val="false"/>
        </w:rPr>
        <w:t>8</w:t>
      </w:r>
      <w:r>
        <w:rPr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 xml:space="preserve">וההפניות שם </w:t>
      </w:r>
      <w:r>
        <w:rPr>
          <w:i w:val="false"/>
          <w:iCs w:val="false"/>
          <w:rtl w:val="true"/>
        </w:rPr>
        <w:t>(</w:t>
      </w:r>
      <w:r>
        <w:rPr>
          <w:i w:val="false"/>
          <w:iCs w:val="false"/>
        </w:rPr>
        <w:t>18.7.2013</w:t>
      </w:r>
      <w:r>
        <w:rPr>
          <w:i w:val="false"/>
          <w:iCs w:val="false"/>
          <w:rtl w:val="true"/>
        </w:rPr>
        <w:t xml:space="preserve">)). </w:t>
      </w:r>
      <w:r>
        <w:rPr>
          <w:i w:val="false"/>
          <w:i w:val="false"/>
          <w:iCs w:val="false"/>
          <w:rtl w:val="true"/>
        </w:rPr>
        <w:t xml:space="preserve">לא אחת גם צוין כי קיימת מגמת החמרה הדרגתית בעונשים המושתים על עבריינות נשק </w:t>
      </w:r>
      <w:r>
        <w:rPr>
          <w:i w:val="false"/>
          <w:iCs w:val="false"/>
          <w:rtl w:val="true"/>
        </w:rPr>
        <w:t>(</w:t>
      </w:r>
      <w:hyperlink r:id="rId31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4945/13</w:t>
        </w:r>
      </w:hyperlink>
      <w:r>
        <w:rPr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מדינת ישראל נ</w:t>
      </w:r>
      <w:r>
        <w:rPr>
          <w:i w:val="false"/>
          <w:iCs w:val="false"/>
          <w:rtl w:val="true"/>
        </w:rPr>
        <w:t xml:space="preserve">' </w:t>
      </w:r>
      <w:r>
        <w:rPr>
          <w:i w:val="false"/>
          <w:i w:val="false"/>
          <w:iCs w:val="false"/>
          <w:rtl w:val="true"/>
        </w:rPr>
        <w:t>סלימאן</w:t>
      </w:r>
      <w:r>
        <w:rPr>
          <w:i w:val="false"/>
          <w:iCs w:val="false"/>
          <w:rtl w:val="true"/>
        </w:rPr>
        <w:t xml:space="preserve">, </w:t>
      </w:r>
      <w:r>
        <w:rPr>
          <w:i w:val="false"/>
          <w:i w:val="false"/>
          <w:iCs w:val="false"/>
          <w:rtl w:val="true"/>
        </w:rPr>
        <w:t xml:space="preserve">פסקה </w:t>
      </w:r>
      <w:r>
        <w:rPr>
          <w:i w:val="false"/>
          <w:iCs w:val="false"/>
        </w:rPr>
        <w:t>14</w:t>
      </w:r>
      <w:r>
        <w:rPr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 xml:space="preserve">וההפניות שם </w:t>
      </w:r>
      <w:r>
        <w:rPr>
          <w:i w:val="false"/>
          <w:iCs w:val="false"/>
          <w:rtl w:val="true"/>
        </w:rPr>
        <w:t>(</w:t>
      </w:r>
      <w:r>
        <w:rPr>
          <w:i w:val="false"/>
          <w:iCs w:val="false"/>
        </w:rPr>
        <w:t>19.1.2014</w:t>
      </w:r>
      <w:r>
        <w:rPr>
          <w:i w:val="false"/>
          <w:iCs w:val="false"/>
          <w:rtl w:val="true"/>
        </w:rPr>
        <w:t xml:space="preserve">); </w:t>
      </w:r>
      <w:hyperlink r:id="rId32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9373/10</w:t>
        </w:r>
      </w:hyperlink>
      <w:r>
        <w:rPr>
          <w:i w:val="false"/>
          <w:iCs w:val="false"/>
          <w:rtl w:val="true"/>
        </w:rPr>
        <w:t xml:space="preserve"> </w:t>
      </w:r>
      <w:r>
        <w:rPr>
          <w:i w:val="false"/>
          <w:i w:val="false"/>
          <w:iCs w:val="false"/>
          <w:rtl w:val="true"/>
        </w:rPr>
        <w:t>ותד נ</w:t>
      </w:r>
      <w:r>
        <w:rPr>
          <w:i w:val="false"/>
          <w:iCs w:val="false"/>
          <w:rtl w:val="true"/>
        </w:rPr>
        <w:t xml:space="preserve">' </w:t>
      </w:r>
      <w:r>
        <w:rPr>
          <w:i w:val="false"/>
          <w:i w:val="false"/>
          <w:iCs w:val="false"/>
          <w:rtl w:val="true"/>
        </w:rPr>
        <w:t xml:space="preserve">מדינת ישראל </w:t>
      </w:r>
      <w:r>
        <w:rPr>
          <w:i w:val="false"/>
          <w:iCs w:val="false"/>
          <w:rtl w:val="true"/>
        </w:rPr>
        <w:t>(</w:t>
      </w:r>
      <w:r>
        <w:rPr>
          <w:i w:val="false"/>
          <w:iCs w:val="false"/>
        </w:rPr>
        <w:t>14.9.2011</w:t>
      </w:r>
      <w:r>
        <w:rPr>
          <w:i w:val="false"/>
          <w:iCs w:val="false"/>
          <w:rtl w:val="true"/>
        </w:rPr>
        <w:t>)".</w:t>
      </w:r>
    </w:p>
    <w:p>
      <w:pPr>
        <w:pStyle w:val="Normal"/>
        <w:ind w:end="0"/>
        <w:jc w:val="start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ממגבלה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24.7.18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ליקויים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קוגניטיביים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24-18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24.7.18</w:t>
      </w:r>
      <w:r>
        <w:rPr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29.4.18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134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134" w:end="0"/>
        <w:jc w:val="both"/>
        <w:rPr/>
      </w:pPr>
      <w:r>
        <w:rPr>
          <w:rtl w:val="true"/>
        </w:rPr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end="0"/>
        <w:jc w:val="both"/>
        <w:rPr/>
      </w:pPr>
      <w:r>
        <w:rPr>
          <w:rtl w:val="true"/>
        </w:rPr>
        <w:tab/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42697-05-18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אמיר בוקאעי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Style14">
    <w:name w:val="ציטוט תו"/>
    <w:qFormat/>
    <w:rPr>
      <w:rFonts w:ascii="Calibri" w:hAnsi="Calibri" w:eastAsia="Calibri" w:cs="David"/>
      <w:i/>
      <w:iCs/>
      <w:color w:val="404040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Style15">
    <w:name w:val="ציטוט"/>
    <w:basedOn w:val="Normal"/>
    <w:next w:val="Normal"/>
    <w:qFormat/>
    <w:pPr>
      <w:spacing w:lineRule="auto" w:line="360" w:before="200" w:after="160"/>
      <w:ind w:hanging="0" w:start="864" w:end="864"/>
      <w:jc w:val="center"/>
    </w:pPr>
    <w:rPr>
      <w:rFonts w:ascii="Calibri" w:hAnsi="Calibri" w:eastAsia="Calibri" w:cs="Calibri"/>
      <w:i/>
      <w:iCs/>
      <w:color w:val="40404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340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40a" TargetMode="External"/><Relationship Id="rId13" Type="http://schemas.openxmlformats.org/officeDocument/2006/relationships/hyperlink" Target="http://www.nevo.co.il/law/70301/40i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6473037" TargetMode="External"/><Relationship Id="rId17" Type="http://schemas.openxmlformats.org/officeDocument/2006/relationships/hyperlink" Target="http://www.nevo.co.il/case/21771409" TargetMode="External"/><Relationship Id="rId18" Type="http://schemas.openxmlformats.org/officeDocument/2006/relationships/hyperlink" Target="http://www.nevo.co.il/case/7791493" TargetMode="External"/><Relationship Id="rId19" Type="http://schemas.openxmlformats.org/officeDocument/2006/relationships/hyperlink" Target="http://www.nevo.co.il/case/5821327" TargetMode="External"/><Relationship Id="rId20" Type="http://schemas.openxmlformats.org/officeDocument/2006/relationships/hyperlink" Target="http://www.nevo.co.il/case/5594385" TargetMode="External"/><Relationship Id="rId21" Type="http://schemas.openxmlformats.org/officeDocument/2006/relationships/hyperlink" Target="http://www.nevo.co.il/case/6473037" TargetMode="External"/><Relationship Id="rId22" Type="http://schemas.openxmlformats.org/officeDocument/2006/relationships/hyperlink" Target="http://www.nevo.co.il/case/20817891" TargetMode="External"/><Relationship Id="rId23" Type="http://schemas.openxmlformats.org/officeDocument/2006/relationships/hyperlink" Target="http://www.nevo.co.il/case/17954222" TargetMode="External"/><Relationship Id="rId24" Type="http://schemas.openxmlformats.org/officeDocument/2006/relationships/hyperlink" Target="http://www.nevo.co.il/case/6000182" TargetMode="External"/><Relationship Id="rId25" Type="http://schemas.openxmlformats.org/officeDocument/2006/relationships/hyperlink" Target="http://www.nevo.co.il/case/13093744" TargetMode="External"/><Relationship Id="rId26" Type="http://schemas.openxmlformats.org/officeDocument/2006/relationships/hyperlink" Target="http://www.nevo.co.il/case/6824952" TargetMode="External"/><Relationship Id="rId27" Type="http://schemas.openxmlformats.org/officeDocument/2006/relationships/hyperlink" Target="http://www.nevo.co.il/case/6473037" TargetMode="External"/><Relationship Id="rId28" Type="http://schemas.openxmlformats.org/officeDocument/2006/relationships/hyperlink" Target="http://www.nevo.co.il/case/22006503" TargetMode="External"/><Relationship Id="rId29" Type="http://schemas.openxmlformats.org/officeDocument/2006/relationships/hyperlink" Target="http://www.nevo.co.il/case/13090914" TargetMode="External"/><Relationship Id="rId30" Type="http://schemas.openxmlformats.org/officeDocument/2006/relationships/hyperlink" Target="http://www.nevo.co.il/case/6950458" TargetMode="External"/><Relationship Id="rId31" Type="http://schemas.openxmlformats.org/officeDocument/2006/relationships/hyperlink" Target="http://www.nevo.co.il/case/7791493" TargetMode="External"/><Relationship Id="rId32" Type="http://schemas.openxmlformats.org/officeDocument/2006/relationships/hyperlink" Target="http://www.nevo.co.il/case/6151556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2019-04-15T14:34:00Z</dcterms:created>
  <dc:creator> </dc:creator>
  <dc:description/>
  <cp:keywords/>
  <dc:language>en-IL</dc:language>
  <cp:lastModifiedBy>run</cp:lastModifiedBy>
  <dcterms:modified xsi:type="dcterms:W3CDTF">2019-04-15T14:34:00Z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אמיר בוקאעי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6473037:3;21771409;7791493:2;5821327;5594385;20817891;17954222;6000182;13093744;6824952;22006503;13090914;6950458;6151556</vt:lpwstr>
  </property>
  <property fmtid="{D5CDD505-2E9C-101B-9397-08002B2CF9AE}" pid="9" name="CITY">
    <vt:lpwstr>חי'</vt:lpwstr>
  </property>
  <property fmtid="{D5CDD505-2E9C-101B-9397-08002B2CF9AE}" pid="10" name="DATE">
    <vt:lpwstr>20181101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70301/040i;144.b;340a</vt:lpwstr>
  </property>
  <property fmtid="{D5CDD505-2E9C-101B-9397-08002B2CF9AE}" pid="15" name="LAWYER">
    <vt:lpwstr>יוסי גימפל;ליאוניד פרחובניק 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42697</vt:lpwstr>
  </property>
  <property fmtid="{D5CDD505-2E9C-101B-9397-08002B2CF9AE}" pid="22" name="NEWPARTB">
    <vt:lpwstr>05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390020181101</vt:lpwstr>
  </property>
  <property fmtid="{D5CDD505-2E9C-101B-9397-08002B2CF9AE}" pid="34" name="TYPE_N_DATE">
    <vt:lpwstr>39020181101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