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5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2"/>
        <w:gridCol w:w="1136"/>
        <w:gridCol w:w="3888"/>
      </w:tblGrid>
      <w:tr>
        <w:trPr>
          <w:trHeight w:val="418" w:hRule="exact"/>
        </w:trPr>
        <w:tc>
          <w:tcPr>
            <w:tcW w:w="8956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bidi w:val="0"/>
              <w:jc w:val="center"/>
              <w:rPr>
                <w:rFonts w:ascii="Arial" w:hAnsi="Arial" w:cs="Arial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39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בית המשפט המחוזי בבאר שבע</w:t>
            </w:r>
          </w:p>
        </w:tc>
        <w:tc>
          <w:tcPr>
            <w:tcW w:w="113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8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42834-02-11</w:t>
            </w:r>
          </w:p>
        </w:tc>
      </w:tr>
      <w:tr>
        <w:trPr>
          <w:trHeight w:val="337" w:hRule="atLeast"/>
        </w:trPr>
        <w:tc>
          <w:tcPr>
            <w:tcW w:w="39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טלי חיימוביץ</w:t>
            </w:r>
          </w:p>
        </w:tc>
        <w:tc>
          <w:tcPr>
            <w:tcW w:w="1136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88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/>
              <w:t>42852-02-11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240"/>
        <w:ind w:end="0"/>
        <w:jc w:val="both"/>
        <w:rPr>
          <w:rFonts w:ascii="Arial" w:hAnsi="Arial" w:cs="Arial"/>
          <w:b w:val="false"/>
          <w:bCs w:val="false"/>
          <w:sz w:val="24"/>
          <w:lang w:eastAsia="en-US"/>
        </w:rPr>
      </w:pPr>
      <w:r>
        <w:rPr>
          <w:rFonts w:cs="Arial" w:ascii="Arial" w:hAnsi="Arial"/>
          <w:b w:val="false"/>
          <w:bCs w:val="false"/>
          <w:sz w:val="24"/>
          <w:rtl w:val="true"/>
          <w:lang w:eastAsia="en-US"/>
        </w:rPr>
      </w:r>
    </w:p>
    <w:tbl>
      <w:tblPr>
        <w:bidiVisual w:val="true"/>
        <w:tblW w:w="8506" w:type="dxa"/>
        <w:jc w:val="start"/>
        <w:tblInd w:w="15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328"/>
        <w:gridCol w:w="3633"/>
        <w:gridCol w:w="2269"/>
      </w:tblGrid>
      <w:tr>
        <w:trPr/>
        <w:tc>
          <w:tcPr>
            <w:tcW w:w="1276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4961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מדינת ישראל</w:t>
            </w:r>
          </w:p>
        </w:tc>
        <w:tc>
          <w:tcPr>
            <w:tcW w:w="226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328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3633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226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4961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נ  ג  ד</w:t>
            </w:r>
          </w:p>
        </w:tc>
        <w:tc>
          <w:tcPr>
            <w:tcW w:w="226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961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 xml:space="preserve">לואי חסן </w:t>
            </w:r>
            <w:r>
              <w:rPr>
                <w:rFonts w:cs="Arial" w:ascii="Arial" w:hAnsi="Arial"/>
                <w:sz w:val="24"/>
                <w:rtl w:val="true"/>
                <w:lang w:eastAsia="en-US"/>
              </w:rPr>
              <w:t>(</w:t>
            </w: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עציר</w:t>
            </w:r>
            <w:r>
              <w:rPr>
                <w:rFonts w:cs="Arial" w:ascii="Arial" w:hAnsi="Arial"/>
                <w:sz w:val="24"/>
                <w:rtl w:val="true"/>
                <w:lang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226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328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3633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cs="Arial" w:ascii="Arial" w:hAnsi="Arial"/>
                <w:sz w:val="24"/>
                <w:rtl w:val="true"/>
                <w:lang w:eastAsia="en-US"/>
              </w:rPr>
            </w:r>
          </w:p>
        </w:tc>
        <w:tc>
          <w:tcPr>
            <w:tcW w:w="226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  <w:lang w:eastAsia="en-US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  <w:lang w:eastAsia="en-US"/>
              </w:rPr>
              <w:t>הנאשם</w:t>
            </w:r>
          </w:p>
        </w:tc>
      </w:tr>
    </w:tbl>
    <w:p>
      <w:pPr>
        <w:pStyle w:val="Style14"/>
        <w:spacing w:lineRule="auto" w:line="240"/>
        <w:ind w:end="0"/>
        <w:jc w:val="both"/>
        <w:rPr>
          <w:rFonts w:ascii="Arial" w:hAnsi="Arial" w:cs="Arial"/>
          <w:b w:val="false"/>
          <w:bCs w:val="false"/>
          <w:sz w:val="24"/>
          <w:lang w:eastAsia="en-US"/>
        </w:rPr>
      </w:pPr>
      <w:r>
        <w:rPr>
          <w:rFonts w:cs="Arial" w:ascii="Arial" w:hAnsi="Arial"/>
          <w:b w:val="false"/>
          <w:bCs w:val="false"/>
          <w:sz w:val="24"/>
          <w:rtl w:val="true"/>
          <w:lang w:eastAsia="en-US"/>
        </w:rPr>
      </w:r>
    </w:p>
    <w:tbl>
      <w:tblPr>
        <w:bidiVisual w:val="true"/>
        <w:tblW w:w="8556" w:type="dxa"/>
        <w:jc w:val="start"/>
        <w:tblInd w:w="19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26"/>
        <w:gridCol w:w="7230"/>
      </w:tblGrid>
      <w:tr>
        <w:trPr/>
        <w:tc>
          <w:tcPr>
            <w:tcW w:w="1326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נוכחים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ד סעדון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–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כ המאשימה </w:t>
            </w:r>
          </w:p>
          <w:p>
            <w:pPr>
              <w:pStyle w:val="Style14"/>
              <w:ind w:end="0"/>
              <w:jc w:val="both"/>
              <w:rPr>
                <w:rFonts w:ascii="Arial" w:hAnsi="Arial" w:cs="Arial"/>
                <w:b w:val="false"/>
                <w:bCs w:val="false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הנאשם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–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בעצמו וב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כ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–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ד אורן בועז </w:t>
            </w:r>
          </w:p>
        </w:tc>
      </w:tr>
    </w:tbl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  <w:t>&lt;</w:t>
      </w:r>
      <w:r>
        <w:rPr>
          <w:rFonts w:cs="Arial" w:ascii="Arial" w:hAnsi="Arial"/>
          <w:sz w:val="16"/>
          <w:szCs w:val="16"/>
        </w:rPr>
        <w:t>#1#</w:t>
      </w:r>
      <w:r>
        <w:rPr>
          <w:rFonts w:cs="Arial" w:ascii="Arial" w:hAnsi="Arial"/>
          <w:sz w:val="16"/>
          <w:szCs w:val="16"/>
          <w:rtl w:val="true"/>
        </w:rPr>
        <w:t>&gt;</w:t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sz w:val="16"/>
          <w:szCs w:val="16"/>
          <w:u w:val="none"/>
        </w:rPr>
      </w:pPr>
      <w:r>
        <w:rPr>
          <w:rFonts w:cs="Arial" w:ascii="Arial" w:hAnsi="Arial"/>
          <w:b w:val="false"/>
          <w:bCs w:val="false"/>
          <w:sz w:val="16"/>
          <w:szCs w:val="16"/>
          <w:u w:val="none"/>
          <w:rtl w:val="true"/>
        </w:rPr>
      </w:r>
    </w:p>
    <w:p>
      <w:pPr>
        <w:pStyle w:val="12"/>
        <w:ind w:end="0"/>
        <w:jc w:val="start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color w:val="FF0000"/>
          <w:sz w:val="28"/>
          <w:lang w:eastAsia="en-US"/>
        </w:rPr>
      </w:pPr>
      <w:r>
        <w:rPr>
          <w:rFonts w:ascii="Arial" w:hAnsi="Arial" w:eastAsia="David" w:cs="Arial"/>
          <w:bCs w:val="false"/>
          <w:color w:val="FF0000"/>
          <w:sz w:val="28"/>
          <w:sz w:val="28"/>
          <w:rtl w:val="true"/>
          <w:lang w:eastAsia="en-US"/>
        </w:rPr>
        <w:t>במסמך זה הושמטו פרוטוקולי</w:t>
      </w:r>
      <w:bookmarkStart w:id="10" w:name="LawTable"/>
      <w:bookmarkEnd w:id="10"/>
    </w:p>
    <w:p>
      <w:pPr>
        <w:pStyle w:val="Style14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color w:val="FF0000"/>
          <w:sz w:val="24"/>
          <w:lang w:eastAsia="en-US"/>
        </w:rPr>
      </w:pPr>
      <w:r>
        <w:rPr>
          <w:rFonts w:eastAsia="David" w:cs="FrankRuehl" w:ascii="FrankRuehl" w:hAnsi="FrankRuehl"/>
          <w:b w:val="false"/>
          <w:bCs w:val="false"/>
          <w:color w:val="FF0000"/>
          <w:sz w:val="24"/>
          <w:rtl w:val="true"/>
          <w:lang w:eastAsia="en-US"/>
        </w:rPr>
      </w:r>
    </w:p>
    <w:p>
      <w:pPr>
        <w:pStyle w:val="Style14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color w:val="FF0000"/>
          <w:sz w:val="24"/>
          <w:lang w:eastAsia="en-US"/>
        </w:rPr>
      </w:pPr>
      <w:r>
        <w:rPr>
          <w:rFonts w:ascii="FrankRuehl" w:hAnsi="FrankRuehl" w:eastAsia="David" w:cs="FrankRuehl"/>
          <w:b w:val="false"/>
          <w:b w:val="false"/>
          <w:bCs w:val="false"/>
          <w:color w:val="FF0000"/>
          <w:sz w:val="24"/>
          <w:sz w:val="24"/>
          <w:rtl w:val="true"/>
          <w:lang w:eastAsia="en-US"/>
        </w:rPr>
        <w:t>חקיקה שאוזכרה</w:t>
      </w:r>
      <w:r>
        <w:rPr>
          <w:rFonts w:eastAsia="David" w:cs="FrankRuehl" w:ascii="FrankRuehl" w:hAnsi="FrankRuehl"/>
          <w:b w:val="false"/>
          <w:bCs w:val="false"/>
          <w:color w:val="FF0000"/>
          <w:sz w:val="24"/>
          <w:rtl w:val="true"/>
          <w:lang w:eastAsia="en-US"/>
        </w:rPr>
        <w:t xml:space="preserve">: </w:t>
      </w:r>
    </w:p>
    <w:p>
      <w:pPr>
        <w:pStyle w:val="Style14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sz w:val="24"/>
          <w:lang w:eastAsia="en-US"/>
        </w:rPr>
      </w:pPr>
      <w:hyperlink r:id="rId2"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  <w:lang w:eastAsia="en-US"/>
          </w:rPr>
          <w:t>חוק העונשין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  <w:lang w:eastAsia="en-US"/>
          </w:rPr>
          <w:t>תשל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  <w:lang w:eastAsia="en-US"/>
          </w:rPr>
          <w:t>ז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rtl w:val="true"/>
            <w:lang w:eastAsia="en-US"/>
          </w:rPr>
          <w:t>-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lang w:eastAsia="en-US"/>
          </w:rPr>
          <w:t>1977</w:t>
        </w:r>
      </w:hyperlink>
      <w:r>
        <w:rPr>
          <w:rFonts w:eastAsia="David" w:cs="FrankRuehl" w:ascii="FrankRuehl" w:hAnsi="FrankRuehl"/>
          <w:b w:val="false"/>
          <w:bCs w:val="false"/>
          <w:sz w:val="24"/>
          <w:rtl w:val="true"/>
          <w:lang w:eastAsia="en-US"/>
        </w:rPr>
        <w:t xml:space="preserve">: </w:t>
      </w:r>
      <w:r>
        <w:rPr>
          <w:rFonts w:ascii="FrankRuehl" w:hAnsi="FrankRuehl" w:eastAsia="David" w:cs="FrankRuehl"/>
          <w:b w:val="false"/>
          <w:b w:val="false"/>
          <w:bCs w:val="false"/>
          <w:sz w:val="24"/>
          <w:sz w:val="24"/>
          <w:rtl w:val="true"/>
          <w:lang w:eastAsia="en-US"/>
        </w:rPr>
        <w:t>סע</w:t>
      </w:r>
      <w:r>
        <w:rPr>
          <w:rFonts w:eastAsia="David" w:cs="FrankRuehl" w:ascii="FrankRuehl" w:hAnsi="FrankRuehl"/>
          <w:b w:val="false"/>
          <w:bCs w:val="false"/>
          <w:sz w:val="24"/>
          <w:rtl w:val="true"/>
          <w:lang w:eastAsia="en-US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lang w:eastAsia="en-US"/>
          </w:rPr>
          <w:t>144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eastAsia="David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  <w:lang w:eastAsia="en-US"/>
          </w:rPr>
          <w:t>ב</w:t>
        </w:r>
        <w:r>
          <w:rPr>
            <w:rStyle w:val="Hyperlink"/>
            <w:rFonts w:eastAsia="David" w:cs="FrankRuehl" w:ascii="FrankRuehl" w:hAnsi="FrankRuehl"/>
            <w:b w:val="false"/>
            <w:bCs w:val="false"/>
            <w:color w:val="0000FF"/>
            <w:sz w:val="24"/>
            <w:u w:val="single"/>
            <w:rtl w:val="true"/>
            <w:lang w:eastAsia="en-US"/>
          </w:rPr>
          <w:t>)</w:t>
        </w:r>
      </w:hyperlink>
    </w:p>
    <w:p>
      <w:pPr>
        <w:pStyle w:val="Style14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b w:val="false"/>
          <w:bCs w:val="false"/>
          <w:sz w:val="24"/>
          <w:lang w:eastAsia="en-US"/>
        </w:rPr>
      </w:pPr>
      <w:r>
        <w:rPr>
          <w:rFonts w:eastAsia="David" w:cs="FrankRuehl" w:ascii="FrankRuehl" w:hAnsi="FrankRuehl"/>
          <w:b w:val="false"/>
          <w:bCs w:val="false"/>
          <w:sz w:val="24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sz w:val="28"/>
          <w:lang w:eastAsia="en-US"/>
        </w:rPr>
      </w:pPr>
      <w:r>
        <w:rPr>
          <w:rFonts w:eastAsia="David" w:cs="Arial" w:ascii="Arial" w:hAnsi="Arial"/>
          <w:b w:val="false"/>
          <w:bCs w:val="false"/>
          <w:sz w:val="28"/>
          <w:rtl w:val="true"/>
          <w:lang w:eastAsia="en-US"/>
        </w:rPr>
      </w:r>
      <w:bookmarkStart w:id="11" w:name="LawTable_End"/>
      <w:bookmarkStart w:id="12" w:name="LawTable_End"/>
      <w:bookmarkEnd w:id="12"/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color w:val="FF0000"/>
          <w:sz w:val="28"/>
          <w:lang w:eastAsia="en-US"/>
        </w:rPr>
      </w:pPr>
      <w:r>
        <w:rPr>
          <w:rFonts w:eastAsia="David" w:cs="Arial" w:ascii="Arial" w:hAnsi="Arial"/>
          <w:b w:val="false"/>
          <w:bCs w:val="false"/>
          <w:color w:val="FF0000"/>
          <w:sz w:val="28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lang w:eastAsia="en-US"/>
        </w:rPr>
      </w:pPr>
      <w:r>
        <w:rPr>
          <w:rFonts w:ascii="Arial" w:hAnsi="Arial" w:eastAsia="David" w:cs="Arial"/>
          <w:bCs w:val="false"/>
          <w:color w:val="FF0000"/>
          <w:sz w:val="28"/>
          <w:sz w:val="28"/>
          <w:rtl w:val="true"/>
          <w:lang w:eastAsia="en-US"/>
        </w:rPr>
        <w:t>ם</w:t>
      </w:r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lang w:eastAsia="en-US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sz w:val="28"/>
          <w:szCs w:val="28"/>
          <w:lang w:eastAsia="en-US"/>
        </w:rPr>
      </w:pPr>
      <w:r>
        <w:rPr>
          <w:rFonts w:eastAsia="David" w:cs="Arial" w:ascii="Arial" w:hAnsi="Arial"/>
          <w:sz w:val="28"/>
          <w:szCs w:val="28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lang w:eastAsia="en-US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lang w:eastAsia="en-US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sz w:val="28"/>
          <w:szCs w:val="28"/>
          <w:lang w:eastAsia="en-US"/>
        </w:rPr>
      </w:pPr>
      <w:r>
        <w:rPr>
          <w:rFonts w:eastAsia="David" w:cs="Arial" w:ascii="Arial" w:hAnsi="Arial"/>
          <w:sz w:val="28"/>
          <w:szCs w:val="28"/>
          <w:rtl w:val="true"/>
          <w:lang w:eastAsia="en-US"/>
        </w:rPr>
      </w:r>
    </w:p>
    <w:p>
      <w:pPr>
        <w:pStyle w:val="Style14"/>
        <w:ind w:end="0"/>
        <w:jc w:val="center"/>
        <w:rPr>
          <w:rFonts w:ascii="Arial" w:hAnsi="Arial" w:eastAsia="David" w:cs="Arial"/>
          <w:sz w:val="28"/>
          <w:szCs w:val="28"/>
          <w:u w:val="single"/>
          <w:lang w:eastAsia="en-US"/>
        </w:rPr>
      </w:pPr>
      <w:bookmarkStart w:id="13" w:name="PsakDin"/>
      <w:bookmarkEnd w:id="13"/>
      <w:r>
        <w:rPr>
          <w:rFonts w:ascii="Arial" w:hAnsi="Arial" w:eastAsia="David" w:cs="Arial"/>
          <w:sz w:val="28"/>
          <w:sz w:val="28"/>
          <w:szCs w:val="28"/>
          <w:u w:val="single"/>
          <w:rtl w:val="true"/>
          <w:lang w:eastAsia="en-US"/>
        </w:rPr>
        <w:t>גזר דין</w:t>
      </w:r>
    </w:p>
    <w:p>
      <w:pPr>
        <w:pStyle w:val="Style14"/>
        <w:ind w:end="0"/>
        <w:jc w:val="both"/>
        <w:rPr>
          <w:rFonts w:ascii="Arial" w:hAnsi="Arial" w:eastAsia="David" w:cs="Arial"/>
          <w:b w:val="false"/>
          <w:bCs w:val="false"/>
          <w:sz w:val="28"/>
          <w:szCs w:val="28"/>
          <w:u w:val="single"/>
          <w:lang w:eastAsia="en-US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single"/>
          <w:rtl w:val="true"/>
          <w:lang w:eastAsia="en-US"/>
        </w:rPr>
      </w:r>
      <w:bookmarkStart w:id="14" w:name="PsakDin"/>
      <w:bookmarkStart w:id="15" w:name="PsakDin"/>
      <w:bookmarkEnd w:id="15"/>
    </w:p>
    <w:p>
      <w:pPr>
        <w:pStyle w:val="ab-p"/>
        <w:bidi w:val="1"/>
        <w:snapToGrid w:val="false"/>
        <w:spacing w:lineRule="auto" w:line="360"/>
        <w:ind w:end="0"/>
        <w:jc w:val="both"/>
        <w:rPr>
          <w:rStyle w:val="ab-h1"/>
          <w:rFonts w:ascii="Arial" w:hAnsi="Arial" w:cs="Arial"/>
          <w:b w:val="false"/>
          <w:bCs w:val="false"/>
          <w:sz w:val="24"/>
          <w:szCs w:val="24"/>
        </w:rPr>
      </w:pPr>
      <w:bookmarkStart w:id="16" w:name="ABSTRACT_START"/>
      <w:bookmarkEnd w:id="16"/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>הנאשם הורשע על פי הודאתו</w:t>
      </w:r>
      <w:r>
        <w:rPr>
          <w:rStyle w:val="ab-h1"/>
          <w:rFonts w:cs="Arial" w:ascii="Arial" w:hAnsi="Arial"/>
          <w:sz w:val="24"/>
          <w:szCs w:val="24"/>
          <w:rtl w:val="true"/>
        </w:rPr>
        <w:t xml:space="preserve">, </w:t>
      </w:r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>במסגרת הסדר טיעון</w:t>
      </w:r>
      <w:r>
        <w:rPr>
          <w:rStyle w:val="ab-h1"/>
          <w:rFonts w:cs="Arial" w:ascii="Arial" w:hAnsi="Arial"/>
          <w:sz w:val="24"/>
          <w:szCs w:val="24"/>
          <w:rtl w:val="true"/>
        </w:rPr>
        <w:t xml:space="preserve">, </w:t>
      </w:r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>בכתב אישום מתוקן</w:t>
      </w:r>
      <w:r>
        <w:rPr>
          <w:rStyle w:val="ab-h1"/>
          <w:rFonts w:cs="Arial" w:ascii="Arial" w:hAnsi="Arial"/>
          <w:sz w:val="24"/>
          <w:szCs w:val="24"/>
          <w:rtl w:val="true"/>
        </w:rPr>
        <w:t xml:space="preserve">, </w:t>
      </w:r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 xml:space="preserve">בעבירה של נשיאת והובלת נשק לפי </w:t>
      </w:r>
      <w:hyperlink r:id="rId4">
        <w:r>
          <w:rPr>
            <w:rStyle w:val="Hyperlink"/>
            <w:rFonts w:cs="Times New Roman" w:ascii="Arial" w:hAnsi="Arial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ascii="Times New Roman" w:hAnsi="Times New Roman" w:cs="Arial"/>
            <w:b/>
            <w:b/>
            <w:bCs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Times New Roman" w:hAnsi="Times New Roman" w:cs="Arial"/>
            <w:b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Times New Roman" w:ascii="Arial" w:hAnsi="Arial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Arial"/>
            <w:b/>
            <w:b/>
            <w:bCs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ab-h1"/>
          <w:rFonts w:cs="Arial" w:ascii="Arial" w:hAnsi="Arial"/>
          <w:sz w:val="24"/>
          <w:szCs w:val="24"/>
          <w:rtl w:val="true"/>
        </w:rPr>
        <w:t xml:space="preserve"> </w:t>
      </w:r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sz w:val="24"/>
            <w:sz w:val="24"/>
            <w:szCs w:val="24"/>
            <w:rtl w:val="true"/>
          </w:rPr>
          <w:t>חוק העונשין</w:t>
        </w:r>
      </w:hyperlink>
      <w:r>
        <w:rPr>
          <w:rStyle w:val="ab-h1"/>
          <w:rFonts w:cs="Arial" w:ascii="Arial" w:hAnsi="Arial"/>
          <w:sz w:val="24"/>
          <w:szCs w:val="24"/>
          <w:rtl w:val="true"/>
        </w:rPr>
        <w:t xml:space="preserve">, </w:t>
      </w:r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>תשל</w:t>
      </w:r>
      <w:r>
        <w:rPr>
          <w:rStyle w:val="ab-h1"/>
          <w:rFonts w:cs="Arial" w:ascii="Arial" w:hAnsi="Arial"/>
          <w:sz w:val="24"/>
          <w:szCs w:val="24"/>
          <w:rtl w:val="true"/>
        </w:rPr>
        <w:t>"</w:t>
      </w:r>
      <w:r>
        <w:rPr>
          <w:rStyle w:val="ab-h1"/>
          <w:rFonts w:ascii="Arial" w:hAnsi="Arial" w:cs="Arial"/>
          <w:sz w:val="24"/>
          <w:sz w:val="24"/>
          <w:szCs w:val="24"/>
          <w:rtl w:val="true"/>
        </w:rPr>
        <w:t xml:space="preserve">ז – </w:t>
      </w:r>
      <w:r>
        <w:rPr>
          <w:rStyle w:val="ab-h1"/>
          <w:rFonts w:cs="Arial" w:ascii="Arial" w:hAnsi="Arial"/>
          <w:sz w:val="24"/>
          <w:szCs w:val="24"/>
        </w:rPr>
        <w:t>1977</w:t>
      </w:r>
      <w:r>
        <w:rPr>
          <w:rStyle w:val="ab-h1"/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ab-p"/>
        <w:bidi w:val="1"/>
        <w:snapToGrid w:val="false"/>
        <w:spacing w:lineRule="auto" w:line="360"/>
        <w:ind w:end="0"/>
        <w:jc w:val="both"/>
        <w:rPr>
          <w:rStyle w:val="ab-h1"/>
          <w:rFonts w:ascii="Arial" w:hAnsi="Arial" w:cs="Arial"/>
          <w:b w:val="false"/>
          <w:bCs w:val="false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rtl w:val="true"/>
        </w:rPr>
        <w:t>על פי עובדות כתב 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9.2.11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הנאשם יחד עם </w:t>
      </w:r>
      <w:r>
        <w:rPr>
          <w:rFonts w:ascii="Arial" w:hAnsi="Arial" w:cs="Arial"/>
          <w:rtl w:val="true"/>
        </w:rPr>
        <w:t>שותף</w:t>
      </w:r>
      <w:r>
        <w:rPr>
          <w:rFonts w:ascii="Arial" w:hAnsi="Arial" w:cs="Arial"/>
          <w:rtl w:val="true"/>
        </w:rPr>
        <w:t xml:space="preserve"> ברכב לבאר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וקיבל</w:t>
      </w:r>
      <w:r>
        <w:rPr>
          <w:rFonts w:ascii="Arial" w:hAnsi="Arial" w:cs="Arial"/>
          <w:rtl w:val="true"/>
        </w:rPr>
        <w:t xml:space="preserve"> מאחר </w:t>
      </w:r>
      <w:r>
        <w:rPr>
          <w:rFonts w:ascii="Arial" w:hAnsi="Arial" w:cs="Arial"/>
          <w:rtl w:val="true"/>
        </w:rPr>
        <w:t>נשק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ינקוב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1732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נסיעה בדרך</w:t>
      </w:r>
      <w:r>
        <w:rPr>
          <w:rFonts w:ascii="Arial" w:hAnsi="Arial" w:cs="Arial"/>
          <w:rtl w:val="true"/>
        </w:rPr>
        <w:t xml:space="preserve"> חזרה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נעצרו על ידי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והנשק נמצא בתא המטען של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 הודה הנאשם בעובדות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בכפוף להסתייגות</w:t>
      </w:r>
      <w:r>
        <w:rPr>
          <w:rFonts w:ascii="Arial" w:hAnsi="Arial" w:cs="Arial"/>
          <w:rtl w:val="true"/>
        </w:rPr>
        <w:t xml:space="preserve"> לפיה</w:t>
      </w:r>
      <w:r>
        <w:rPr>
          <w:rFonts w:ascii="Arial" w:hAnsi="Arial" w:cs="Arial"/>
          <w:rtl w:val="true"/>
        </w:rPr>
        <w:t xml:space="preserve"> הוא מודה בהתייחס אליו בלבד ו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בעובדות המפרטות את זהותם של הקושרים</w:t>
      </w:r>
      <w:r>
        <w:rPr>
          <w:rFonts w:ascii="Arial" w:hAnsi="Arial" w:cs="Arial"/>
          <w:rtl w:val="true"/>
        </w:rPr>
        <w:t xml:space="preserve">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</w:t>
      </w:r>
      <w:r>
        <w:rPr>
          <w:rFonts w:ascii="Arial" w:hAnsi="Arial" w:cs="Arial"/>
          <w:rtl w:val="true"/>
        </w:rPr>
        <w:t>בעובדות המבססות את עבירת קשירת הקשר לפשע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לא הגיעו להסדר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ארבע  הרשעות קודמות בעבירות מגוונות בתחום 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האלימות וכן בריחה ממשמר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ריצה שתי תקופות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האחרונה בהן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להחמיר עם הנאשם ולהשית עליו תקופת מאסר ארוכה ומרתיעה ועונשים נילווים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המכביד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ומסוכנותו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כי מדובר ברובה שמיש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באמצעותו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הציג פסיקה לעניין </w:t>
      </w:r>
      <w:r>
        <w:rPr>
          <w:rFonts w:ascii="Arial" w:hAnsi="Arial" w:cs="Arial"/>
          <w:rtl w:val="true"/>
        </w:rPr>
        <w:t>החומרה בה רואים בתי המשפט עבירות מסוג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שלא להחמיר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 נסיבות העבירה מצויות ברף הנמוך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הנשק נשוא האישום ישן וחלוד ונמצא </w:t>
      </w:r>
      <w:r>
        <w:rPr>
          <w:rFonts w:ascii="Arial" w:hAnsi="Arial" w:cs="Arial"/>
          <w:rtl w:val="true"/>
        </w:rPr>
        <w:t>לא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</w:t>
      </w:r>
      <w:r>
        <w:rPr>
          <w:rFonts w:ascii="Arial" w:hAnsi="Arial" w:cs="Arial"/>
          <w:rtl w:val="true"/>
        </w:rPr>
        <w:t>לא 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בדיון במעצרם של האחרים סיווג את הנסיבות ברף הנמוך של החומרה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חייו של הנאשם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בן לאב דרוזי ואם מוסלמית אשר החל עוד טרם המקרה בתהליך גיור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ונאלץ לעזוב את העיר עכו עקב 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מצוי במעצר מחודש פבר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אר באגף תורני נקי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הפנה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אינו כולל עבירות אלימות חמור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או פשעים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להודייתו המהירה והחסכון בזמן השיפוטי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לפסיקה מקלה בעבירות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הנאשם העיד גם הרב שמעון חזן אשר קשור עם הנאשם ונהג ללמד אותו בכולל אותו פקד הנאשם בתקופה עובר למעצר וכן מעורב בהליך הגיור אותו עובר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הרב סיפר כי הנאשם השתלב בכולל ואף הרבה ללמוד עד חודש לפני 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לאחר השחרור הוא מתכנן להשתלב  בכולל אחר בירושלים על מנת להרחיק עצמו מהחברה הרעה בה היה מעורב בעכו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של נשיאת  נשק והובלתו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עבירות המסכנות את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ונאמר</w:t>
      </w:r>
      <w:r>
        <w:rPr>
          <w:rFonts w:ascii="Arial" w:hAnsi="Arial" w:cs="Arial"/>
          <w:rtl w:val="true"/>
        </w:rPr>
        <w:t xml:space="preserve"> בעניינן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אנו יכולים להתעלם מהעובדה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שהחזקת נשק שלא כדין היא עבירה נפוצה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מסכנת את בטחון הציבור במידה רצינית והדברים ידועים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חשוב שתחדור לתודעת כל תושבי המדינה הידיעה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שמי שביודעין מקבל לרשותו כלי נשק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צפוי בגין עבירה זו לעונש מכאיב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אפילו אין הוא מתכוון אישית לבצע פשע מסוים מוגדר בעזרת הנשק האמור</w:t>
      </w:r>
      <w:r>
        <w:rPr>
          <w:rFonts w:cs="Arial" w:ascii="Arial" w:hAnsi="Arial"/>
          <w:b/>
          <w:bCs/>
          <w:rtl w:val="true"/>
        </w:rPr>
        <w:t xml:space="preserve">."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6">
        <w:r>
          <w:rPr>
            <w:rStyle w:val="Hyperlink"/>
            <w:rFonts w:cs="Arial" w:ascii="Arial" w:hAnsi="Arial"/>
            <w:color w:val="0000FF"/>
            <w:u w:val="single"/>
          </w:rPr>
          <w:t>910/85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אברהים קונדוס ואח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ראה גם </w:t>
      </w:r>
      <w:hyperlink r:id="rId7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5921/08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החזקה של כלי נשק על ידי מי שאינו מורשה בכך יש פוטנציאל להוביל להסלמה חמורה  ותוצאות קשות של כל אירוע בו יהיה מעורב אותו נושא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וזאת אף מקום שהנשק מוחזק אך למטרות הגנה עצמית בלבד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לחומרא שקלתי את 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אינן ברף הנמוך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הסניגור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הנשק נשוא האישום הוא רובה חצי אוטומאטי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וניתן לשימוש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שלא הובלה גם מחסנית ביחד עם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משנה כהוא זה את נסיבות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ולכל היותר מלמדת על כך שלא היתה כוונה לעשות בו שימוש ביום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הובלת הנשק והחזקתו מקפלות בתוכן את פוטנציאל השימוש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מתווסף עברו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הוא אינו 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ומלמד על אורח חיים עברייני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יש כדי להגביר את פוטנציאל הנזק מהחזקת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לקולא שקלתי את הודייתו המהירה של הנאשם והחיסכון בזמן השיפוטי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הוגש תסקיר שירות מבחן ועל כן לא ניתן היה ללמוד על נסיבות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תובנותיו בהווה באשר לעתידו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עניין גיורו של הנאשם 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התחזקותו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כפי שכינה אותה מובן שאינו מהווה שיקול לכאן או לכאן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וזהו עניינו האישי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אילו היה מוגש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היה להתרשם יותר לעומק מהדברים שנאמרו על ידי הרב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אני מקבלת אותם ומתחשבת בהם במידת האפשר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</w:t>
      </w:r>
      <w:r>
        <w:rPr>
          <w:rFonts w:ascii="Arial" w:hAnsi="Arial" w:cs="Arial"/>
          <w:rtl w:val="true"/>
        </w:rPr>
        <w:t xml:space="preserve">גוזרת על הנאשם את העונשים הבאים 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המעצר החל מיום </w:t>
      </w:r>
      <w:r>
        <w:rPr>
          <w:rFonts w:cs="Arial" w:ascii="Arial" w:hAnsi="Arial"/>
        </w:rPr>
        <w:t>22.2.11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שמונה</w:t>
      </w:r>
      <w:r>
        <w:rPr>
          <w:rFonts w:ascii="Arial" w:hAnsi="Arial" w:cs="Arial"/>
          <w:rtl w:val="true"/>
        </w:rPr>
        <w:t xml:space="preserve"> 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עבירה בה הורשע בתיק זה או כל עבירה הכרוכה בנשק</w:t>
      </w:r>
      <w:r>
        <w:rPr>
          <w:rFonts w:cs="Arial" w:ascii="Arial" w:hAnsi="Arial"/>
          <w:rtl w:val="true"/>
        </w:rPr>
        <w:t xml:space="preserve">,  </w:t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זכות ערעור תוך </w:t>
      </w:r>
      <w:r>
        <w:rPr>
          <w:rFonts w:cs="Arial" w:ascii="Arial" w:hAnsi="Arial"/>
          <w:b w:val="false"/>
          <w:bCs w:val="false"/>
        </w:rPr>
        <w:t>45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יום מהיום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#7#</w:t>
      </w:r>
      <w:r>
        <w:rPr>
          <w:rFonts w:cs="Arial" w:ascii="Arial" w:hAnsi="Arial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ניתנה והודעה היום 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14/09/2011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טלי חיימוביץ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טלי חיימוביץ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>שם הקלדנית</w:t>
      </w:r>
      <w:r>
        <w:rPr>
          <w:rFonts w:cs="Arial" w:ascii="Arial" w:hAnsi="Arial"/>
          <w:b w:val="false"/>
          <w:bCs w:val="false"/>
          <w:rtl w:val="true"/>
        </w:rPr>
        <w:t xml:space="preserve">: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מיכל וקנין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42834-02-11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לואי 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ab-h1">
    <w:name w:val="ab-h1"/>
    <w:basedOn w:val="DefaultParagraphFont"/>
    <w:qFormat/>
    <w:rPr>
      <w:rFonts w:ascii="Times New Roman" w:hAnsi="Times New Roman" w:cs="Times New Roman"/>
      <w:b/>
      <w:bCs/>
      <w:sz w:val="22"/>
      <w:szCs w:val="22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ab-p">
    <w:name w:val="ab-p"/>
    <w:basedOn w:val="Normal"/>
    <w:qFormat/>
    <w:pPr>
      <w:bidi w:val="0"/>
      <w:jc w:val="both"/>
    </w:pPr>
    <w:rPr>
      <w:rFonts w:ascii="Times New Roman" w:hAnsi="Times New Roman" w:eastAsia="Arial Unicode MS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4698388" TargetMode="External"/><Relationship Id="rId7" Type="http://schemas.openxmlformats.org/officeDocument/2006/relationships/hyperlink" Target="http://www.nevo.co.il/case/604048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2016-05-03T12:03:00Z</dcterms:created>
  <dc:creator> </dc:creator>
  <dc:description/>
  <cp:keywords/>
  <dc:language>en-IL</dc:language>
  <cp:lastModifiedBy>hofit</cp:lastModifiedBy>
  <dcterms:modified xsi:type="dcterms:W3CDTF">2016-05-03T12:03:00Z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לואי חסן</vt:lpwstr>
  </property>
  <property fmtid="{D5CDD505-2E9C-101B-9397-08002B2CF9AE}" pid="4" name="CASESLISTTMP1">
    <vt:lpwstr>4698388;6040482</vt:lpwstr>
  </property>
  <property fmtid="{D5CDD505-2E9C-101B-9397-08002B2CF9AE}" pid="5" name="CITY">
    <vt:lpwstr>ב"ש</vt:lpwstr>
  </property>
  <property fmtid="{D5CDD505-2E9C-101B-9397-08002B2CF9AE}" pid="6" name="DATE">
    <vt:lpwstr>20110914</vt:lpwstr>
  </property>
  <property fmtid="{D5CDD505-2E9C-101B-9397-08002B2CF9AE}" pid="7" name="ISABSTRACT">
    <vt:lpwstr>Y</vt:lpwstr>
  </property>
  <property fmtid="{D5CDD505-2E9C-101B-9397-08002B2CF9AE}" pid="8" name="JUDGE">
    <vt:lpwstr>טלי חיימוביץ</vt:lpwstr>
  </property>
  <property fmtid="{D5CDD505-2E9C-101B-9397-08002B2CF9AE}" pid="9" name="LAWLISTTMP1">
    <vt:lpwstr>70301/144.b</vt:lpwstr>
  </property>
  <property fmtid="{D5CDD505-2E9C-101B-9397-08002B2CF9AE}" pid="10" name="LAWYER">
    <vt:lpwstr>סעדון;סעדון ו אורן בועז</vt:lpwstr>
  </property>
  <property fmtid="{D5CDD505-2E9C-101B-9397-08002B2CF9AE}" pid="11" name="NEWPARTA">
    <vt:lpwstr>42834</vt:lpwstr>
  </property>
  <property fmtid="{D5CDD505-2E9C-101B-9397-08002B2CF9AE}" pid="12" name="NEWPARTB">
    <vt:lpwstr>02</vt:lpwstr>
  </property>
  <property fmtid="{D5CDD505-2E9C-101B-9397-08002B2CF9AE}" pid="13" name="NEWPARTC">
    <vt:lpwstr>11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390020110914</vt:lpwstr>
  </property>
  <property fmtid="{D5CDD505-2E9C-101B-9397-08002B2CF9AE}" pid="18" name="TYPE_N_DATE">
    <vt:lpwstr>39020110914</vt:lpwstr>
  </property>
  <property fmtid="{D5CDD505-2E9C-101B-9397-08002B2CF9AE}" pid="19" name="WORDNUMPAGES">
    <vt:lpwstr>4</vt:lpwstr>
  </property>
</Properties>
</file>