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42991-05-16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טאלב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סיאם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וינוגרד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י</w:t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שיבוש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הליכי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244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בראונינג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להסליק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בתגובה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לחצאיתה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וניסתה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בקריאה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וכתיבה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לתפיסתו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להסכם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ביקורתי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וינוגרד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הנחיות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ומגלמת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קטלני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מסורתיות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מושרשות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טביק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28.7.16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לתינוקת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color w:val="000000"/>
        </w:rPr>
        <w:t>49160-11-15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color w:val="0000FF"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18780-06-14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39796-06-12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50329-10-15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tl w:val="true"/>
        </w:rPr>
        <w:t xml:space="preserve">,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27780-05-15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19.11.15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60581-11-15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Fonts w:cs="Arial" w:ascii="Arial" w:hAnsi="Arial"/>
        </w:rPr>
        <w:t>01.05.16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 בהתאם להודאתו בביצוע עבירת החזקת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אקדח טעון במחסנית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צעיר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פרקליט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בראונינג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ומשהגיעו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מרעייתו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בבגדיה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ולהוציאו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יבחינו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לפעוטה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לעמדותיו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לגיטימיות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ביכולתי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28.7.16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4.6.17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הערבויות שניתנו בתיק יוותרו על כנן להבטחת התייצבות הנאשם לריצוי מאסרו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לאחר התייצבות הנאשם לריצוי המאסר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יגיש 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כ הנאשם הודעה על כך לבית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ובכפוף תושב ההפקדה למפקיד בכפוף לכל הוראה חוקית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טלפון תפוס יושב לרעייתו של 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היות גזר הדין 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האקדח והתחמושת יחולטו או יושמדו לפי שיקול דעת קצין 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ובכפוף לכל דין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42991-05-16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טאלב אבו סיאם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2">
    <w:name w:val="WW8Num4z2"/>
    <w:qFormat/>
    <w:rPr>
      <w:rFonts w:cs="Times New Roman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20723375" TargetMode="External"/><Relationship Id="rId13" Type="http://schemas.openxmlformats.org/officeDocument/2006/relationships/hyperlink" Target="http://www.nevo.co.il/case/18086234" TargetMode="External"/><Relationship Id="rId14" Type="http://schemas.openxmlformats.org/officeDocument/2006/relationships/hyperlink" Target="http://www.nevo.co.il/case/20531134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21475135" TargetMode="External"/><Relationship Id="rId18" Type="http://schemas.openxmlformats.org/officeDocument/2006/relationships/hyperlink" Target="http://www.nevo.co.il/case/16992066" TargetMode="External"/><Relationship Id="rId19" Type="http://schemas.openxmlformats.org/officeDocument/2006/relationships/hyperlink" Target="http://www.nevo.co.il/case/3507722" TargetMode="External"/><Relationship Id="rId20" Type="http://schemas.openxmlformats.org/officeDocument/2006/relationships/hyperlink" Target="http://www.nevo.co.il/case/20658167" TargetMode="External"/><Relationship Id="rId21" Type="http://schemas.openxmlformats.org/officeDocument/2006/relationships/hyperlink" Target="http://www.nevo.co.il/case/20274148" TargetMode="External"/><Relationship Id="rId22" Type="http://schemas.openxmlformats.org/officeDocument/2006/relationships/hyperlink" Target="http://www.nevo.co.il/case/20756485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2018-04-15T11:15:00Z</dcterms:created>
  <dc:creator> </dc:creator>
  <dc:description/>
  <cp:keywords/>
  <dc:language>en-IL</dc:language>
  <cp:lastModifiedBy>run</cp:lastModifiedBy>
  <dcterms:modified xsi:type="dcterms:W3CDTF">2018-04-15T11:15:00Z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טאלב אבו סיאם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7791493;20723375;18086234;20531134;6024035;6058757;21475135;16992066;3507722;20658167;20274148;20756485</vt:lpwstr>
  </property>
  <property fmtid="{D5CDD505-2E9C-101B-9397-08002B2CF9AE}" pid="9" name="CITY">
    <vt:lpwstr>רמ'</vt:lpwstr>
  </property>
  <property fmtid="{D5CDD505-2E9C-101B-9397-08002B2CF9AE}" pid="10" name="DATE">
    <vt:lpwstr>20170406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70301/144.a;244;040i;40jc;40ja</vt:lpwstr>
  </property>
  <property fmtid="{D5CDD505-2E9C-101B-9397-08002B2CF9AE}" pid="15" name="LAWYER">
    <vt:lpwstr>עינב וינוגרד;שוקרי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42991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380020170406</vt:lpwstr>
  </property>
  <property fmtid="{D5CDD505-2E9C-101B-9397-08002B2CF9AE}" pid="34" name="TYPE_N_DATE">
    <vt:lpwstr>38020170406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