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4338-04-13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אביעוז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ביטון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אביעוז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נקש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סיים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5" w:name="LawTable_End"/>
            <w:bookmarkStart w:id="6" w:name="LawTable_End"/>
            <w:bookmarkEnd w:id="6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בעניין הנאשם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257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257"/>
        <w:ind w:firstLine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הכרעת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והובלה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start="714" w:end="0"/>
        <w:contextualSpacing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רגר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start="714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התגרה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במתרחש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באגרסיביות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אגרסיביות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האגרסיבית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במרפק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לאגרסיביות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הדדיות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תגרה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תקיפה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רגר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להפלילו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האגרסיבית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והמניפולטיבית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ההפללה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להפללה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האובייקטיביים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התגוששות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דחיפות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בהתגוננות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177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הרשעות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ותסקירי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התעסוקתי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בצעירותו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בכעסים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לאימפולסיביות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תוקפנות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14.7.16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1.11.16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בזלזול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האגרסיבית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והמניפולטיבית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הנפגעים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וטבעם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התעלמות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המתבטאים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שמקורו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כועסים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האימפולסיבית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בקיוסק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האימפולסיבית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המניפולטיבית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". 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הסיטואציה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שבקיוסק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התגוששו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נקיטה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בהבאת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אפשרויות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מכריע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sz w:val="22"/>
          <w:szCs w:val="22"/>
        </w:rPr>
      </w:pPr>
      <w:r>
        <w:rPr>
          <w:rFonts w:ascii="Arial" w:hAnsi="Arial" w:cs="Arial"/>
          <w:rtl w:val="true"/>
        </w:rPr>
        <w:t>בתי המשפט הביעו עמדה מחמירה כלפי מי שמחזיקים כלי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כאשר מדובר בכלי נשק טעון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נפסק כי </w:t>
      </w:r>
      <w:r>
        <w:rPr>
          <w:rFonts w:cs="Arial" w:ascii="Arial" w:hAnsi="Arial"/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Arial" w:ascii="Arial" w:hAnsi="Arial"/>
          <w:rtl w:val="true"/>
        </w:rPr>
        <w:t>"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‏ ‏</w:t>
      </w:r>
      <w:r>
        <w:rPr>
          <w:b/>
          <w:b/>
          <w:bCs/>
          <w:rtl w:val="true"/>
        </w:rPr>
        <w:t>חנא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25.2.14</w:t>
      </w:r>
      <w:r>
        <w:rPr>
          <w:rtl w:val="true"/>
        </w:rPr>
        <w:t xml:space="preserve">).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>" (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הנדל 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7241/12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טאטור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12.2.13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נדחה ערעורו של נאשם אשר נדון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שהחזיק אקדח מספר חודשים ומסרו לקרוב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ליריות שמחה במהלך חתונה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ותלויה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ובמאפייניו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הייחודיים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הקונקרטי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טאטור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01.02.15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והחזקה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האפשרי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בחתונות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סרק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tl w:val="true"/>
          <w:lang w:eastAsia="he-IL"/>
        </w:rPr>
        <w:t>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מחוזי</w:t>
        </w:r>
        <w:r>
          <w:rPr>
            <w:rStyle w:val="Hyperlink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35007-04-13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איסלאם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עזאיזה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08.01.15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לסכסוך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שיטרית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14049-06-11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דבאח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5006/06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זלאם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אחסאן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28.1.07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להתפוצצות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נצ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3/10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איסמעיל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29.4.10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סטודנט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איסמעיל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סיכומו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לעניין האירוע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בצירוף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נלווים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בקיוסק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נבלעת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נפרד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18.7.16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הניסוח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ההתרגשות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ושאלתי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תשובת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רגשית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להתנדב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באינטנסיביות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ולנסיגה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המתבטאים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ותוקפנית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חיימוביץ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51641-11-11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מלאכ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25.4.13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i/>
          <w:i/>
          <w:iCs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וקיצוני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נגמלים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שקוע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וההשקעה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i/>
          <w:i/>
          <w:iCs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שיקום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התוצאה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היתרה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     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נקש והתובע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ביטון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אינפלד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4338-04-13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אביעוז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.a.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1" TargetMode="External"/><Relationship Id="rId7" Type="http://schemas.openxmlformats.org/officeDocument/2006/relationships/hyperlink" Target="http://www.nevo.co.il/law/70301/40ja.8" TargetMode="External"/><Relationship Id="rId8" Type="http://schemas.openxmlformats.org/officeDocument/2006/relationships/hyperlink" Target="http://www.nevo.co.il/law/70301/19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i.a.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8291683" TargetMode="External"/><Relationship Id="rId16" Type="http://schemas.openxmlformats.org/officeDocument/2006/relationships/hyperlink" Target="http://www.nevo.co.il/case/5597217" TargetMode="External"/><Relationship Id="rId17" Type="http://schemas.openxmlformats.org/officeDocument/2006/relationships/hyperlink" Target="http://www.nevo.co.il/case/17954222" TargetMode="External"/><Relationship Id="rId18" Type="http://schemas.openxmlformats.org/officeDocument/2006/relationships/hyperlink" Target="http://www.nevo.co.il/case/7878510" TargetMode="External"/><Relationship Id="rId19" Type="http://schemas.openxmlformats.org/officeDocument/2006/relationships/hyperlink" Target="http://www.nevo.co.il/case/3518873" TargetMode="External"/><Relationship Id="rId20" Type="http://schemas.openxmlformats.org/officeDocument/2006/relationships/hyperlink" Target="http://www.nevo.co.il/case/507029" TargetMode="External"/><Relationship Id="rId21" Type="http://schemas.openxmlformats.org/officeDocument/2006/relationships/hyperlink" Target="http://www.nevo.co.il/case/2378964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law/70301/40ja.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4185535" TargetMode="External"/><Relationship Id="rId26" Type="http://schemas.openxmlformats.org/officeDocument/2006/relationships/hyperlink" Target="http://www.nevo.co.il/law/70301/40d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2017-10-03T09:06:00Z</dcterms:created>
  <dc:creator> </dc:creator>
  <dc:description/>
  <cp:keywords/>
  <dc:language>en-IL</dc:language>
  <cp:lastModifiedBy>run</cp:lastModifiedBy>
  <dcterms:modified xsi:type="dcterms:W3CDTF">2017-10-03T09:06:00Z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אביעוז;קובי אזולאי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8291683;5597217;17954222;7878510;3518873;507029;2378964;5950172;4185535</vt:lpwstr>
  </property>
  <property fmtid="{D5CDD505-2E9C-101B-9397-08002B2CF9AE}" pid="9" name="CITY">
    <vt:lpwstr>ב"ש</vt:lpwstr>
  </property>
  <property fmtid="{D5CDD505-2E9C-101B-9397-08002B2CF9AE}" pid="10" name="DATE">
    <vt:lpwstr>20161211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אינפלד</vt:lpwstr>
  </property>
  <property fmtid="{D5CDD505-2E9C-101B-9397-08002B2CF9AE}" pid="14" name="LAWLISTTMP1">
    <vt:lpwstr>70301/191;144.b:2;040d:2;040i.a.5;40ja.8</vt:lpwstr>
  </property>
  <property fmtid="{D5CDD505-2E9C-101B-9397-08002B2CF9AE}" pid="15" name="LAWYER">
    <vt:lpwstr>אבי ביטון;עוזי נקש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4338</vt:lpwstr>
  </property>
  <property fmtid="{D5CDD505-2E9C-101B-9397-08002B2CF9AE}" pid="22" name="NEWPARTB">
    <vt:lpwstr>04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390020161211</vt:lpwstr>
  </property>
  <property fmtid="{D5CDD505-2E9C-101B-9397-08002B2CF9AE}" pid="34" name="TYPE_N_DATE">
    <vt:lpwstr>39020161211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