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er"/>
        <w:tabs>
          <w:tab w:val="clear" w:pos="720"/>
        </w:tabs>
        <w:ind w:end="0"/>
        <w:jc w:val="center"/>
        <w:rPr/>
      </w:pPr>
      <w:r>
        <w:rPr>
          <w:rtl w:val="true"/>
        </w:rPr>
      </w:r>
      <w:bookmarkStart w:id="0" w:name="LastJudge"/>
      <w:bookmarkStart w:id="1" w:name="LastJudge"/>
      <w:bookmarkEnd w:id="1"/>
    </w:p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73"/>
        <w:gridCol w:w="1068"/>
        <w:gridCol w:w="3679"/>
      </w:tblGrid>
      <w:tr>
        <w:trPr>
          <w:trHeight w:val="418" w:hRule="exact"/>
        </w:trPr>
        <w:tc>
          <w:tcPr>
            <w:tcW w:w="8720" w:type="dxa"/>
            <w:gridSpan w:val="3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משפט השלום ברמלה</w:t>
            </w:r>
          </w:p>
        </w:tc>
      </w:tr>
      <w:tr>
        <w:trPr>
          <w:trHeight w:val="337" w:hRule="atLeast"/>
        </w:trPr>
        <w:tc>
          <w:tcPr>
            <w:tcW w:w="3973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43390-05-11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אעביד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1068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679" w:type="dxa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28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יוני </w:t>
            </w:r>
            <w:r>
              <w:rPr>
                <w:b/>
                <w:bCs/>
                <w:sz w:val="26"/>
                <w:szCs w:val="26"/>
              </w:rPr>
              <w:t>2011</w:t>
            </w:r>
          </w:p>
        </w:tc>
      </w:tr>
    </w:tbl>
    <w:p>
      <w:pPr>
        <w:pStyle w:val="Header"/>
        <w:ind w:end="0"/>
        <w:jc w:val="center"/>
        <w:rPr>
          <w:rFonts w:ascii="Tahoma" w:hAnsi="Tahoma" w:cs="Tahoma"/>
          <w:b/>
          <w:bCs/>
          <w:color w:val="000080"/>
          <w:sz w:val="20"/>
          <w:szCs w:val="20"/>
        </w:rPr>
      </w:pPr>
      <w:r>
        <w:rPr>
          <w:rFonts w:cs="Tahoma" w:ascii="Tahoma" w:hAnsi="Tahoma"/>
          <w:b/>
          <w:bCs/>
          <w:color w:val="000080"/>
          <w:sz w:val="20"/>
          <w:szCs w:val="20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color w:val="000080"/>
          <w:sz w:val="20"/>
          <w:szCs w:val="20"/>
        </w:rPr>
      </w:pPr>
      <w:r>
        <w:rPr>
          <w:rFonts w:cs="Arial" w:ascii="Arial" w:hAnsi="Arial"/>
          <w:b/>
          <w:bCs/>
          <w:color w:val="000080"/>
          <w:sz w:val="20"/>
          <w:szCs w:val="20"/>
          <w:rtl w:val="true"/>
        </w:rPr>
      </w:r>
    </w:p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592"/>
        <w:gridCol w:w="7128"/>
      </w:tblGrid>
      <w:tr>
        <w:trPr>
          <w:trHeight w:val="337" w:hRule="atLeast"/>
        </w:trPr>
        <w:tc>
          <w:tcPr>
            <w:tcW w:w="1592" w:type="dxa"/>
            <w:tcBorders/>
          </w:tcPr>
          <w:p>
            <w:pPr>
              <w:pStyle w:val="Header"/>
              <w:bidi w:val="0"/>
              <w:snapToGrid w:val="false"/>
              <w:spacing w:lineRule="auto" w:line="36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7128" w:type="dxa"/>
            <w:tcBorders/>
          </w:tcPr>
          <w:p>
            <w:pPr>
              <w:pStyle w:val="Header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/>
              <w:t>43408-05-11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3"/>
        <w:gridCol w:w="2797"/>
        <w:gridCol w:w="360"/>
        <w:gridCol w:w="5562"/>
      </w:tblGrid>
      <w:tr>
        <w:trPr/>
        <w:tc>
          <w:tcPr>
            <w:tcW w:w="83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9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בפני כב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שופט הישאם  אבו שחאדה</w:t>
            </w:r>
            <w:r>
              <w:rPr>
                <w:rStyle w:val="TimesNewRomanTimesNewRoman"/>
                <w:rtl w:val="true"/>
              </w:rPr>
              <w:t xml:space="preserve"> </w:t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bookmarkStart w:id="2" w:name="FirstAppellant"/>
            <w:bookmarkEnd w:id="2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</w:tc>
        <w:tc>
          <w:tcPr>
            <w:tcW w:w="5922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8802" w:type="dxa"/>
            <w:gridSpan w:val="4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נאשמים</w:t>
            </w:r>
          </w:p>
        </w:tc>
        <w:tc>
          <w:tcPr>
            <w:tcW w:w="5922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חלף אעביד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692" w:hRule="atLeast"/>
        </w:trPr>
        <w:tc>
          <w:tcPr>
            <w:tcW w:w="8802" w:type="dxa"/>
            <w:gridSpan w:val="4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3240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556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end"/>
              <w:rPr/>
            </w:pPr>
            <w:r>
              <w:rPr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#2#</w:t>
      </w:r>
      <w:r>
        <w:rPr>
          <w:sz w:val="6"/>
          <w:szCs w:val="6"/>
          <w:rtl w:val="true"/>
        </w:rPr>
        <w:t>&gt;</w:t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  <w:t>נוכחים</w:t>
      </w:r>
      <w:r>
        <w:rPr>
          <w:u w:val="none"/>
          <w:rtl w:val="true"/>
        </w:rPr>
        <w:t>: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bookmarkStart w:id="3" w:name="FirstLawyer"/>
      <w:r>
        <w:rPr>
          <w:b w:val="false"/>
          <w:b w:val="false"/>
          <w:bCs w:val="false"/>
          <w:u w:val="none"/>
          <w:rtl w:val="true"/>
        </w:rPr>
        <w:t>ב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כ</w:t>
      </w:r>
      <w:bookmarkEnd w:id="3"/>
      <w:r>
        <w:rPr>
          <w:b w:val="false"/>
          <w:b w:val="false"/>
          <w:bCs w:val="false"/>
          <w:u w:val="none"/>
          <w:rtl w:val="true"/>
        </w:rPr>
        <w:t xml:space="preserve"> מאשימה</w:t>
      </w:r>
      <w:r>
        <w:rPr>
          <w:b w:val="false"/>
          <w:bCs w:val="false"/>
          <w:u w:val="none"/>
          <w:rtl w:val="true"/>
        </w:rPr>
        <w:t xml:space="preserve">- </w:t>
      </w:r>
      <w:r>
        <w:rPr>
          <w:b w:val="false"/>
          <w:b w:val="false"/>
          <w:bCs w:val="false"/>
          <w:u w:val="none"/>
          <w:rtl w:val="true"/>
        </w:rPr>
        <w:t>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ד אלמוג בן חמו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>ב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כ נאשם</w:t>
      </w:r>
      <w:r>
        <w:rPr>
          <w:b w:val="false"/>
          <w:bCs w:val="false"/>
          <w:u w:val="none"/>
          <w:rtl w:val="true"/>
        </w:rPr>
        <w:t xml:space="preserve">- </w:t>
      </w:r>
      <w:r>
        <w:rPr>
          <w:b w:val="false"/>
          <w:b w:val="false"/>
          <w:bCs w:val="false"/>
          <w:u w:val="none"/>
          <w:rtl w:val="true"/>
        </w:rPr>
        <w:t>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ד מנחם בלום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>נאשם</w:t>
      </w:r>
      <w:r>
        <w:rPr>
          <w:b w:val="false"/>
          <w:bCs w:val="false"/>
          <w:u w:val="none"/>
          <w:rtl w:val="true"/>
        </w:rPr>
        <w:t xml:space="preserve">- </w:t>
      </w:r>
      <w:r>
        <w:rPr>
          <w:b w:val="false"/>
          <w:b w:val="false"/>
          <w:bCs w:val="false"/>
          <w:u w:val="none"/>
          <w:rtl w:val="true"/>
        </w:rPr>
        <w:t>באמצעות שב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 xml:space="preserve">ס 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none"/>
        </w:rPr>
      </w:pPr>
      <w:r>
        <w:rPr>
          <w:rFonts w:cs="Arial" w:ascii="Arial" w:hAnsi="Arial"/>
          <w:b/>
          <w:bCs/>
          <w:sz w:val="28"/>
          <w:szCs w:val="28"/>
          <w:u w:val="none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bookmarkStart w:id="4" w:name="LastJudge"/>
      <w:bookmarkEnd w:id="4"/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החלטה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הנני משחרר את עו</w:t>
      </w:r>
      <w:r>
        <w:rPr>
          <w:rtl w:val="true"/>
        </w:rPr>
        <w:t>"</w:t>
      </w:r>
      <w:r>
        <w:rPr>
          <w:rtl w:val="true"/>
        </w:rPr>
        <w:t>ד רותם סרי מטעם הסנגוריה הציבורית לייצג את הנאשם בתיק זה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#8#</w:t>
      </w:r>
      <w:r>
        <w:rPr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rtl w:val="true"/>
        </w:rPr>
        <w:t xml:space="preserve">ניתנה והודעה היום </w:t>
      </w:r>
      <w:r>
        <w:rPr>
          <w:b/>
          <w:b/>
          <w:bCs/>
          <w:rtl w:val="true"/>
        </w:rPr>
        <w:t>כ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ו סיון תשע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28/06/2011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</w:p>
    <w:p>
      <w:pPr>
        <w:pStyle w:val="Normal"/>
        <w:ind w:end="0"/>
        <w:jc w:val="both"/>
        <w:rPr/>
      </w:pPr>
      <w:r>
        <w:rPr>
          <w:rtl w:val="true"/>
        </w:rPr>
        <w:t xml:space="preserve"> </w:t>
      </w:r>
    </w:p>
    <w:p>
      <w:pPr>
        <w:pStyle w:val="Normal"/>
        <w:ind w:end="0"/>
        <w:jc w:val="center"/>
        <w:rPr/>
      </w:pPr>
      <w:r>
        <w:rPr>
          <w:rtl w:val="true"/>
        </w:rPr>
      </w:r>
    </w:p>
    <w:tbl>
      <w:tblPr>
        <w:bidiVisual w:val="true"/>
        <w:tblW w:w="3708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708"/>
      </w:tblGrid>
      <w:tr>
        <w:trPr>
          <w:trHeight w:val="364" w:hRule="atLeast"/>
        </w:trPr>
        <w:tc>
          <w:tcPr>
            <w:tcW w:w="3708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  <w:tr>
        <w:trPr>
          <w:trHeight w:val="415" w:hRule="atLeast"/>
        </w:trPr>
        <w:tc>
          <w:tcPr>
            <w:tcW w:w="370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הישאם</w:t>
            </w:r>
            <w:r>
              <w:rPr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אבו שחאדה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#3#</w:t>
      </w:r>
      <w:r>
        <w:rPr>
          <w:sz w:val="6"/>
          <w:szCs w:val="6"/>
          <w:rtl w:val="true"/>
        </w:rPr>
        <w:t>&gt;</w:t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הכרעת דין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על פי הודיית הנאשם</w:t>
      </w:r>
      <w:r>
        <w:rPr>
          <w:rtl w:val="true"/>
        </w:rPr>
        <w:t>,</w:t>
      </w:r>
      <w:r>
        <w:rPr>
          <w:rtl w:val="true"/>
        </w:rPr>
        <w:t>הנני מרשיעו בעבירות שבכתב האישום המתוקן</w:t>
      </w:r>
      <w:r>
        <w:rPr>
          <w:rtl w:val="true"/>
        </w:rPr>
        <w:t xml:space="preserve">: </w:t>
      </w:r>
    </w:p>
    <w:p>
      <w:pPr>
        <w:pStyle w:val="Normal"/>
        <w:numPr>
          <w:ilvl w:val="0"/>
          <w:numId w:val="2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 xml:space="preserve">שהייה בלתי חוקית בישראל לפי סעיף </w:t>
      </w:r>
      <w:r>
        <w:rPr/>
        <w:t>12</w:t>
      </w:r>
      <w:r>
        <w:rPr>
          <w:rtl w:val="true"/>
        </w:rPr>
        <w:t>(</w:t>
      </w:r>
      <w:r>
        <w:rPr/>
        <w:t>1</w:t>
      </w:r>
      <w:r>
        <w:rPr>
          <w:rtl w:val="true"/>
        </w:rPr>
        <w:t xml:space="preserve">) </w:t>
      </w:r>
      <w:r>
        <w:rPr>
          <w:rtl w:val="true"/>
        </w:rPr>
        <w:t>ל</w:t>
      </w:r>
      <w:hyperlink r:id="rId2">
        <w:r>
          <w:rPr>
            <w:rStyle w:val="Hyperlink"/>
            <w:color w:val="0000FF"/>
            <w:u w:val="single"/>
            <w:rtl w:val="true"/>
          </w:rPr>
          <w:t>חוק הכניסה לישראל</w:t>
        </w:r>
      </w:hyperlink>
      <w:r>
        <w:rPr>
          <w:rtl w:val="true"/>
        </w:rPr>
        <w:t xml:space="preserve">, </w:t>
      </w:r>
      <w:r>
        <w:rPr>
          <w:rtl w:val="true"/>
        </w:rPr>
        <w:t>התשי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1952</w:t>
      </w:r>
      <w:r>
        <w:rPr>
          <w:rtl w:val="true"/>
        </w:rPr>
        <w:t>.</w:t>
      </w:r>
    </w:p>
    <w:p>
      <w:pPr>
        <w:pStyle w:val="Normal"/>
        <w:numPr>
          <w:ilvl w:val="0"/>
          <w:numId w:val="2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 xml:space="preserve">התחזות לאדם אחר לפי סעיף </w:t>
      </w:r>
      <w:r>
        <w:rPr/>
        <w:t>441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3">
        <w:r>
          <w:rPr>
            <w:rStyle w:val="Hyperlink"/>
            <w:color w:val="0000FF"/>
            <w:u w:val="single"/>
            <w:rtl w:val="true"/>
          </w:rPr>
          <w:t>חוק 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- </w:t>
      </w:r>
      <w:r>
        <w:rPr/>
        <w:t>1977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#4#</w:t>
      </w:r>
      <w:r>
        <w:rPr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rtl w:val="true"/>
        </w:rPr>
        <w:t xml:space="preserve">ניתנה והודעה היום </w:t>
      </w:r>
      <w:r>
        <w:rPr>
          <w:b/>
          <w:b/>
          <w:bCs/>
          <w:rtl w:val="true"/>
        </w:rPr>
        <w:t>כ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ו סיון תשע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28/06/2011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</w:p>
    <w:p>
      <w:pPr>
        <w:pStyle w:val="Normal"/>
        <w:ind w:end="0"/>
        <w:jc w:val="both"/>
        <w:rPr/>
      </w:pPr>
      <w:r>
        <w:rPr>
          <w:rtl w:val="true"/>
        </w:rPr>
        <w:t xml:space="preserve"> </w:t>
      </w:r>
    </w:p>
    <w:p>
      <w:pPr>
        <w:pStyle w:val="Normal"/>
        <w:ind w:end="0"/>
        <w:jc w:val="center"/>
        <w:rPr/>
      </w:pPr>
      <w:r>
        <w:rPr>
          <w:rtl w:val="true"/>
        </w:rPr>
      </w:r>
    </w:p>
    <w:tbl>
      <w:tblPr>
        <w:bidiVisual w:val="true"/>
        <w:tblW w:w="3708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708"/>
      </w:tblGrid>
      <w:tr>
        <w:trPr>
          <w:trHeight w:val="364" w:hRule="atLeast"/>
        </w:trPr>
        <w:tc>
          <w:tcPr>
            <w:tcW w:w="3708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  <w:tr>
        <w:trPr>
          <w:trHeight w:val="415" w:hRule="atLeast"/>
        </w:trPr>
        <w:tc>
          <w:tcPr>
            <w:tcW w:w="370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הישאם</w:t>
            </w:r>
            <w:r>
              <w:rPr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אבו שחאדה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end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#5#</w:t>
      </w:r>
      <w:r>
        <w:rPr>
          <w:sz w:val="6"/>
          <w:szCs w:val="6"/>
          <w:rtl w:val="true"/>
        </w:rPr>
        <w:t>&gt;</w:t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bookmarkStart w:id="5" w:name="PsakDin"/>
      <w:bookmarkEnd w:id="5"/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גזר דין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  <w:bookmarkStart w:id="6" w:name="PsakDin"/>
      <w:bookmarkStart w:id="7" w:name="PsakDin"/>
      <w:bookmarkEnd w:id="7"/>
    </w:p>
    <w:p>
      <w:pPr>
        <w:pStyle w:val="Normal"/>
        <w:spacing w:lineRule="auto" w:line="360"/>
        <w:ind w:end="0"/>
        <w:jc w:val="both"/>
        <w:rPr/>
      </w:pPr>
      <w:bookmarkStart w:id="8" w:name="ABSTRACT_START"/>
      <w:bookmarkEnd w:id="8"/>
      <w:r>
        <w:rPr>
          <w:rtl w:val="true"/>
        </w:rPr>
        <w:t>הנאשם הודה בכתב אישום מתוקן והורשע</w:t>
      </w:r>
      <w:r>
        <w:rPr>
          <w:rtl w:val="true"/>
        </w:rPr>
        <w:t xml:space="preserve">. </w:t>
      </w:r>
      <w:r>
        <w:rPr>
          <w:rtl w:val="true"/>
        </w:rPr>
        <w:t xml:space="preserve">ביום </w:t>
      </w:r>
      <w:r>
        <w:rPr/>
        <w:t>17.05.11</w:t>
      </w:r>
      <w:r>
        <w:rPr>
          <w:rtl w:val="true"/>
        </w:rPr>
        <w:t xml:space="preserve"> </w:t>
      </w:r>
      <w:r>
        <w:rPr>
          <w:rtl w:val="true"/>
        </w:rPr>
        <w:t>הנאשם נכנס לישראל שלא כדין ומשעוכב ע</w:t>
      </w:r>
      <w:r>
        <w:rPr>
          <w:rtl w:val="true"/>
        </w:rPr>
        <w:t>"</w:t>
      </w:r>
      <w:r>
        <w:rPr>
          <w:rtl w:val="true"/>
        </w:rPr>
        <w:t>י שוטרים הזדהה בשם אחיו</w:t>
      </w:r>
      <w:r>
        <w:rPr>
          <w:rtl w:val="true"/>
        </w:rPr>
        <w:t xml:space="preserve">. </w:t>
      </w:r>
      <w:r>
        <w:rPr>
          <w:rtl w:val="true"/>
        </w:rPr>
        <w:t xml:space="preserve">לנאשם הרשעה אחת מיום </w:t>
      </w:r>
      <w:r>
        <w:rPr/>
        <w:t>02.02.10</w:t>
      </w:r>
      <w:r>
        <w:rPr>
          <w:rtl w:val="true"/>
        </w:rPr>
        <w:t xml:space="preserve"> </w:t>
      </w:r>
      <w:r>
        <w:rPr>
          <w:rtl w:val="true"/>
        </w:rPr>
        <w:t>של בית משפט השלום ברמלה בגין עבירות של הפרעה לשוטר במילוי תפקידו וכניסה שלא כדין לישראל</w:t>
      </w:r>
      <w:r>
        <w:rPr>
          <w:rtl w:val="true"/>
        </w:rPr>
        <w:t xml:space="preserve">. </w:t>
      </w:r>
      <w:r>
        <w:rPr>
          <w:rtl w:val="true"/>
        </w:rPr>
        <w:t>מן הראוי לציין כי הן בכניסה הנוכחית והן בכניסה הקודמת לא נלוו לעבירה של שהייה בלתי חוקית בישראל עבירות רכוש</w:t>
      </w:r>
      <w:r>
        <w:rPr>
          <w:rtl w:val="true"/>
        </w:rPr>
        <w:t xml:space="preserve">, </w:t>
      </w:r>
      <w:r>
        <w:rPr>
          <w:rtl w:val="true"/>
        </w:rPr>
        <w:t>אלימות או סמים</w:t>
      </w:r>
      <w:r>
        <w:rPr>
          <w:rtl w:val="true"/>
        </w:rPr>
        <w:t xml:space="preserve">. </w:t>
      </w:r>
      <w:r>
        <w:rPr>
          <w:rtl w:val="true"/>
        </w:rPr>
        <w:t>העבירה של התחזות לאחר</w:t>
      </w:r>
      <w:r>
        <w:rPr>
          <w:rtl w:val="true"/>
        </w:rPr>
        <w:t xml:space="preserve">, </w:t>
      </w:r>
      <w:r>
        <w:rPr>
          <w:rtl w:val="true"/>
        </w:rPr>
        <w:t>במיוחד בנסיבות שבהן הנאשם לא החזיק תעודת זהות מזויפת</w:t>
      </w:r>
      <w:r>
        <w:rPr>
          <w:rtl w:val="true"/>
        </w:rPr>
        <w:t xml:space="preserve">, </w:t>
      </w:r>
      <w:r>
        <w:rPr>
          <w:rtl w:val="true"/>
        </w:rPr>
        <w:t>הינה עבירה נעדרת תחכום ובמידה רבה יש בה אלמנט של פשטות</w:t>
      </w:r>
      <w:r>
        <w:rPr>
          <w:rtl w:val="true"/>
        </w:rPr>
        <w:t xml:space="preserve">. </w:t>
      </w:r>
      <w:r>
        <w:rPr>
          <w:rtl w:val="true"/>
        </w:rPr>
        <w:t>זאת לא כל שכן</w:t>
      </w:r>
      <w:r>
        <w:rPr>
          <w:rtl w:val="true"/>
        </w:rPr>
        <w:t xml:space="preserve">, </w:t>
      </w:r>
      <w:r>
        <w:rPr>
          <w:rtl w:val="true"/>
        </w:rPr>
        <w:t>כאשר לנאשם רישום קודם וטביעות אצבע שלו מופיעות במערכת המשטרתית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  <w:bookmarkStart w:id="9" w:name="ABSTRACT_END"/>
      <w:bookmarkStart w:id="10" w:name="ABSTRACT_END"/>
      <w:bookmarkEnd w:id="10"/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אין דינו של תושב שטחים שנכנס לישראל על מנת לפגוע ברכוש הזולת</w:t>
      </w:r>
      <w:r>
        <w:rPr>
          <w:rtl w:val="true"/>
        </w:rPr>
        <w:t xml:space="preserve">, </w:t>
      </w:r>
      <w:r>
        <w:rPr>
          <w:rtl w:val="true"/>
        </w:rPr>
        <w:t>כדינו של תושב שטחים שנכנס לישראל במטרה לעבוד ולהביא פרנסה לבני ביתו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הסמכות של בית המשפט להארכת מאסר על תנאי</w:t>
      </w:r>
      <w:r>
        <w:rPr>
          <w:rtl w:val="true"/>
        </w:rPr>
        <w:t xml:space="preserve">, </w:t>
      </w:r>
      <w:r>
        <w:rPr>
          <w:rtl w:val="true"/>
        </w:rPr>
        <w:t>יש לעשות בה שימוש בצורה זהירה ובמקרים מיוחדים וחריגים</w:t>
      </w:r>
      <w:r>
        <w:rPr>
          <w:rtl w:val="true"/>
        </w:rPr>
        <w:t xml:space="preserve">. </w:t>
      </w:r>
      <w:r>
        <w:rPr>
          <w:rtl w:val="true"/>
        </w:rPr>
        <w:t>הנאשם כיום מצוי על כסא גלגלים עקב נפילה מהמיטה בעת שהותו במעצר</w:t>
      </w:r>
      <w:r>
        <w:rPr>
          <w:rtl w:val="true"/>
        </w:rPr>
        <w:t xml:space="preserve">. </w:t>
      </w:r>
      <w:r>
        <w:rPr>
          <w:rtl w:val="true"/>
        </w:rPr>
        <w:t>ברי שבנסיבות אלה מעצרו הופך לקשה יותר מאסיר רגיל שלא איבד את היכולת לעמוד על רגליו</w:t>
      </w:r>
      <w:r>
        <w:rPr>
          <w:rtl w:val="true"/>
        </w:rPr>
        <w:t xml:space="preserve">. </w:t>
      </w:r>
      <w:r>
        <w:rPr>
          <w:rtl w:val="true"/>
        </w:rPr>
        <w:t>דומני שהמקרה הזה הינו אחד המקרים החריגים שיש לעשות שימוש בסמכות בדבר הארכת מאסר על תנאי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הנני משית על הנאשם את העונשים הבאים</w:t>
      </w:r>
      <w:r>
        <w:rPr>
          <w:rtl w:val="true"/>
        </w:rPr>
        <w:t>:</w:t>
      </w:r>
    </w:p>
    <w:p>
      <w:pPr>
        <w:pStyle w:val="Normal"/>
        <w:numPr>
          <w:ilvl w:val="0"/>
          <w:numId w:val="1"/>
        </w:numPr>
        <w:spacing w:lineRule="auto" w:line="360"/>
        <w:ind w:hanging="360" w:start="780" w:end="0"/>
        <w:jc w:val="both"/>
        <w:rPr/>
      </w:pPr>
      <w:r>
        <w:rPr>
          <w:rtl w:val="true"/>
        </w:rPr>
        <w:t xml:space="preserve">הנני מורה על הארכת המאסר המותנה של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חודשים שניתן ב</w:t>
      </w:r>
      <w:hyperlink r:id="rId4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4880-02-10</w:t>
        </w:r>
      </w:hyperlink>
      <w:r>
        <w:rPr>
          <w:rtl w:val="true"/>
        </w:rPr>
        <w:t xml:space="preserve"> </w:t>
      </w:r>
      <w:r>
        <w:rPr>
          <w:rtl w:val="true"/>
        </w:rPr>
        <w:t>של בית משפט השלום ברמלה למשך שנתיים נוספות מהיום</w:t>
      </w:r>
      <w:r>
        <w:rPr>
          <w:rtl w:val="true"/>
        </w:rPr>
        <w:t>.</w:t>
      </w:r>
    </w:p>
    <w:p>
      <w:pPr>
        <w:pStyle w:val="Normal"/>
        <w:numPr>
          <w:ilvl w:val="0"/>
          <w:numId w:val="1"/>
        </w:numPr>
        <w:spacing w:lineRule="auto" w:line="360"/>
        <w:ind w:hanging="360" w:start="780" w:end="0"/>
        <w:jc w:val="both"/>
        <w:rPr/>
      </w:pPr>
      <w:r>
        <w:rPr>
          <w:rtl w:val="true"/>
        </w:rPr>
        <w:t xml:space="preserve">הנני משית על הנאשם קנס כספי בסך של </w:t>
      </w:r>
      <w:r>
        <w:rPr/>
        <w:t>3,000</w:t>
      </w:r>
      <w:r>
        <w:rPr>
          <w:rtl w:val="true"/>
        </w:rPr>
        <w:t xml:space="preserve"> ₪, </w:t>
      </w:r>
      <w:r>
        <w:rPr>
          <w:rtl w:val="true"/>
        </w:rPr>
        <w:t xml:space="preserve">או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ימי מאסר תמורתו</w:t>
      </w:r>
      <w:r>
        <w:rPr>
          <w:rtl w:val="true"/>
        </w:rPr>
        <w:t xml:space="preserve">. </w:t>
      </w:r>
      <w:r>
        <w:rPr>
          <w:rtl w:val="true"/>
        </w:rPr>
        <w:t xml:space="preserve">לאור העובדה שהנאשם עצור מיום </w:t>
      </w:r>
      <w:r>
        <w:rPr/>
        <w:t>17.05.11</w:t>
      </w:r>
      <w:r>
        <w:rPr>
          <w:rtl w:val="true"/>
        </w:rPr>
        <w:t xml:space="preserve">, </w:t>
      </w:r>
      <w:r>
        <w:rPr>
          <w:rtl w:val="true"/>
        </w:rPr>
        <w:t>הרי שניתן לראות בתקופת המעצר שחלפה כבאה במקום הקנס 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התוצאה המעשית היא שהנאשם ישוחרר עוד היום למחסום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הנני מורה לרשויות שב</w:t>
      </w:r>
      <w:r>
        <w:rPr>
          <w:rtl w:val="true"/>
        </w:rPr>
        <w:t>"</w:t>
      </w:r>
      <w:r>
        <w:rPr>
          <w:rtl w:val="true"/>
        </w:rPr>
        <w:t xml:space="preserve">ס לאפשר לנאשם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שיחות טלפון ע</w:t>
      </w:r>
      <w:r>
        <w:rPr>
          <w:rtl w:val="true"/>
        </w:rPr>
        <w:t>"</w:t>
      </w:r>
      <w:r>
        <w:rPr>
          <w:rtl w:val="true"/>
        </w:rPr>
        <w:t>ח המדינה</w:t>
      </w:r>
      <w:r>
        <w:rPr>
          <w:rtl w:val="true"/>
        </w:rPr>
        <w:t xml:space="preserve">, </w:t>
      </w:r>
      <w:r>
        <w:rPr>
          <w:rtl w:val="true"/>
        </w:rPr>
        <w:t>לרבות לטלפונים ניידים</w:t>
      </w:r>
      <w:r>
        <w:rPr>
          <w:rtl w:val="true"/>
        </w:rPr>
        <w:t xml:space="preserve">, </w:t>
      </w:r>
      <w:r>
        <w:rPr>
          <w:rtl w:val="true"/>
        </w:rPr>
        <w:t>כדי שיוכל להודיע לבני  משפחתו על מיקום המחסום שאליו יועבר</w:t>
      </w:r>
      <w:r>
        <w:rPr>
          <w:rtl w:val="true"/>
        </w:rPr>
        <w:t xml:space="preserve">. </w:t>
      </w:r>
      <w:r>
        <w:rPr>
          <w:rtl w:val="true"/>
        </w:rPr>
        <w:t>שב</w:t>
      </w:r>
      <w:r>
        <w:rPr>
          <w:rtl w:val="true"/>
        </w:rPr>
        <w:t>"</w:t>
      </w:r>
      <w:r>
        <w:rPr>
          <w:rtl w:val="true"/>
        </w:rPr>
        <w:t>ס תעדכן את הנאשם לגבי מיקום המחסום ושעת ההעברה לאותו מחסום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הדיון שנקבע בפני כב</w:t>
      </w:r>
      <w:r>
        <w:rPr>
          <w:rtl w:val="true"/>
        </w:rPr>
        <w:t xml:space="preserve">' </w:t>
      </w:r>
      <w:r>
        <w:rPr>
          <w:rtl w:val="true"/>
        </w:rPr>
        <w:t>סגנית הנשיאה</w:t>
      </w:r>
      <w:r>
        <w:rPr>
          <w:rtl w:val="true"/>
        </w:rPr>
        <w:t xml:space="preserve">, </w:t>
      </w:r>
      <w:r>
        <w:rPr>
          <w:rtl w:val="true"/>
        </w:rPr>
        <w:t>השופטת דסקין</w:t>
      </w:r>
      <w:r>
        <w:rPr>
          <w:rtl w:val="true"/>
        </w:rPr>
        <w:t xml:space="preserve">, </w:t>
      </w:r>
      <w:r>
        <w:rPr>
          <w:rtl w:val="true"/>
        </w:rPr>
        <w:t xml:space="preserve">ליום </w:t>
      </w:r>
      <w:r>
        <w:rPr/>
        <w:t>19.07.11</w:t>
      </w:r>
      <w:r>
        <w:rPr>
          <w:rtl w:val="true"/>
        </w:rPr>
        <w:t xml:space="preserve">, </w:t>
      </w:r>
      <w:r>
        <w:rPr>
          <w:rtl w:val="true"/>
        </w:rPr>
        <w:t>מבוטל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זכות ערעור תוך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#6#</w:t>
      </w:r>
      <w:r>
        <w:rPr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/>
          <w:bCs/>
          <w:rtl w:val="true"/>
        </w:rPr>
        <w:t>ניתנה והודעה היום כ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ו סיון תשע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28/06/2011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 xml:space="preserve">.  </w:t>
      </w:r>
      <w:r>
        <w:rPr>
          <w:rtl w:val="true"/>
        </w:rPr>
        <w:t xml:space="preserve"> </w:t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 xml:space="preserve">הישאם אבו שחאדה </w:t>
      </w:r>
      <w:r>
        <w:rPr>
          <w:color w:val="000000"/>
          <w:sz w:val="22"/>
          <w:szCs w:val="22"/>
        </w:rPr>
        <w:t>54678313</w:t>
      </w:r>
    </w:p>
    <w:p>
      <w:pPr>
        <w:pStyle w:val="Normal"/>
        <w:ind w:end="0"/>
        <w:jc w:val="center"/>
        <w:rPr/>
      </w:pPr>
      <w:r>
        <w:rPr>
          <w:color w:val="FFFFFF"/>
          <w:sz w:val="2"/>
          <w:szCs w:val="2"/>
        </w:rPr>
        <w:t>54678313</w:t>
      </w:r>
    </w:p>
    <w:tbl>
      <w:tblPr>
        <w:bidiVisual w:val="true"/>
        <w:tblW w:w="3708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708"/>
      </w:tblGrid>
      <w:tr>
        <w:trPr>
          <w:trHeight w:val="364" w:hRule="atLeast"/>
        </w:trPr>
        <w:tc>
          <w:tcPr>
            <w:tcW w:w="3708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  <w:tr>
        <w:trPr>
          <w:trHeight w:val="415" w:hRule="atLeast"/>
        </w:trPr>
        <w:tc>
          <w:tcPr>
            <w:tcW w:w="370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הישאם</w:t>
            </w:r>
            <w:r>
              <w:rPr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אבו שחאדה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5">
        <w:r>
          <w:rPr>
            <w:rStyle w:val="Hyperlink"/>
            <w:color w:val="0000FF"/>
            <w:u w:val="single"/>
            <w:rtl w:val="true"/>
          </w:rPr>
          <w:t>בעניין עריכה ושינויים במסמכי 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 ועוד באתר נבו – הקש 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6"/>
      <w:footerReference w:type="default" r:id="rId7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4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רמ</w:t>
    </w:r>
    <w:r>
      <w:rPr>
        <w:color w:val="000000"/>
        <w:sz w:val="22"/>
        <w:szCs w:val="22"/>
        <w:rtl w:val="true"/>
      </w:rPr>
      <w:t xml:space="preserve">') </w:t>
    </w:r>
    <w:r>
      <w:rPr>
        <w:color w:val="000000"/>
        <w:sz w:val="22"/>
        <w:szCs w:val="22"/>
      </w:rPr>
      <w:t>43390-05-11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 ישראל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חלף אעביד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780"/>
        </w:tabs>
        <w:ind w:start="780" w:hanging="360"/>
      </w:p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720"/>
        </w:tabs>
        <w:ind w:start="720" w:hanging="360"/>
      </w:p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TimesNewRomanTimesNewRoman">
    <w:name w:val="סגנון (לטיני) Times New Roman (עברית ושפות אחרות) Times New Roman..."/>
    <w:basedOn w:val="DefaultParagraphFont"/>
    <w:qFormat/>
    <w:rPr>
      <w:rFonts w:ascii="Times New Roman" w:hAnsi="Times New Roman" w:cs="David"/>
      <w:b/>
      <w:bCs/>
      <w:sz w:val="26"/>
      <w:szCs w:val="26"/>
    </w:rPr>
  </w:style>
  <w:style w:type="character" w:styleId="LineNumber">
    <w:name w:val="line number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12">
    <w:name w:val="רגיל + ‏12 נק'"/>
    <w:basedOn w:val="Normal"/>
    <w:qFormat/>
    <w:pPr/>
    <w:rPr>
      <w:rFonts w:ascii="Times New Roman" w:hAnsi="Times New Roman" w:eastAsia="Times New Roman" w:cs="Times New Roman"/>
      <w:b/>
      <w:bCs/>
      <w:u w:val="single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_html/law01/189_003.htm" TargetMode="External"/><Relationship Id="rId3" Type="http://schemas.openxmlformats.org/officeDocument/2006/relationships/hyperlink" Target="http://www.nevo.co.il/law_html/law01/073_002.htm" TargetMode="External"/><Relationship Id="rId4" Type="http://schemas.openxmlformats.org/officeDocument/2006/relationships/hyperlink" Target="http://www.nevo.co.il/links/psika/?NEWPROC=&#1514;&#1508;&amp;NEWPARTA=4880&amp;NEWPARTB=02&amp;NEWPARTC=10" TargetMode="External"/><Relationship Id="rId5" Type="http://schemas.openxmlformats.org/officeDocument/2006/relationships/hyperlink" Target="http://www.nevo.co.il/advertisements/nevo-100.doc" TargetMode="Externa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2011-06-29T11:07:00Z</dcterms:created>
  <dc:creator> </dc:creator>
  <dc:description/>
  <cp:keywords/>
  <dc:language>en-IL</dc:language>
  <cp:lastModifiedBy>hofit</cp:lastModifiedBy>
  <dcterms:modified xsi:type="dcterms:W3CDTF">2011-06-29T11:07:00Z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חלף אעביד</vt:lpwstr>
  </property>
  <property fmtid="{D5CDD505-2E9C-101B-9397-08002B2CF9AE}" pid="4" name="CITY">
    <vt:lpwstr>רמ'</vt:lpwstr>
  </property>
  <property fmtid="{D5CDD505-2E9C-101B-9397-08002B2CF9AE}" pid="5" name="DATE">
    <vt:lpwstr>20110628</vt:lpwstr>
  </property>
  <property fmtid="{D5CDD505-2E9C-101B-9397-08002B2CF9AE}" pid="6" name="ISABSTRACT">
    <vt:lpwstr>Y</vt:lpwstr>
  </property>
  <property fmtid="{D5CDD505-2E9C-101B-9397-08002B2CF9AE}" pid="7" name="JUDGE">
    <vt:lpwstr>הישאם אבו שחאדה</vt:lpwstr>
  </property>
  <property fmtid="{D5CDD505-2E9C-101B-9397-08002B2CF9AE}" pid="8" name="LAWYER">
    <vt:lpwstr>אלמוג בן חמו;מנחם בלום</vt:lpwstr>
  </property>
  <property fmtid="{D5CDD505-2E9C-101B-9397-08002B2CF9AE}" pid="9" name="NEWPARTA">
    <vt:lpwstr>43390</vt:lpwstr>
  </property>
  <property fmtid="{D5CDD505-2E9C-101B-9397-08002B2CF9AE}" pid="10" name="NEWPARTB">
    <vt:lpwstr>05</vt:lpwstr>
  </property>
  <property fmtid="{D5CDD505-2E9C-101B-9397-08002B2CF9AE}" pid="11" name="NEWPARTC">
    <vt:lpwstr>11</vt:lpwstr>
  </property>
  <property fmtid="{D5CDD505-2E9C-101B-9397-08002B2CF9AE}" pid="12" name="NEWPROC">
    <vt:lpwstr>תפ</vt:lpwstr>
  </property>
  <property fmtid="{D5CDD505-2E9C-101B-9397-08002B2CF9AE}" pid="13" name="PSAKDIN">
    <vt:lpwstr>גזר-דין</vt:lpwstr>
  </property>
  <property fmtid="{D5CDD505-2E9C-101B-9397-08002B2CF9AE}" pid="14" name="TYPE">
    <vt:lpwstr>3</vt:lpwstr>
  </property>
  <property fmtid="{D5CDD505-2E9C-101B-9397-08002B2CF9AE}" pid="15" name="TYPE_ABS_DATE">
    <vt:lpwstr>380020110628</vt:lpwstr>
  </property>
  <property fmtid="{D5CDD505-2E9C-101B-9397-08002B2CF9AE}" pid="16" name="TYPE_N_DATE">
    <vt:lpwstr>38020110628</vt:lpwstr>
  </property>
  <property fmtid="{D5CDD505-2E9C-101B-9397-08002B2CF9AE}" pid="17" name="WORDNUMPAGES">
    <vt:lpwstr>3</vt:lpwstr>
  </property>
</Properties>
</file>