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43400-05-13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,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פרץ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היחידה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ותיקים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מיוחדים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בנהרדיתי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פרץ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אפרים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דמרי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חובב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דמרי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טוביאנה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ולפי</w:t>
      </w:r>
      <w:r>
        <w:rPr>
          <w:rFonts w:cs="Times New Roman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הכנסה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כוזבת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השמטה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הכנסה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השתמטות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יהא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יהא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ערך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מוסף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מס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הכנסה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נלקחו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לילדים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החרטה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שדיווח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הכנסותיו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המחדלים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הכנסה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60,000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id="7" w:name="LawTable_End"/>
            <w:bookmarkStart w:id="8" w:name="LawTable"/>
            <w:bookmarkStart w:id="9" w:name="PsakDin"/>
            <w:bookmarkEnd w:id="7"/>
            <w:bookmarkEnd w:id="8"/>
            <w:bookmarkEnd w:id="9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2009-2007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הרלוונטית</w:t>
      </w:r>
      <w:r>
        <w:rPr>
          <w:rtl w:val="true"/>
        </w:rPr>
        <w:t xml:space="preserve">),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זינדני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אמנון</w:t>
      </w:r>
      <w:r>
        <w:rPr>
          <w:rtl w:val="true"/>
        </w:rPr>
        <w:t xml:space="preserve">)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העסק</w:t>
      </w:r>
      <w:r>
        <w:rPr>
          <w:rtl w:val="true"/>
        </w:rPr>
        <w:t xml:space="preserve">).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העסקאות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,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המונמכות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המונמכות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1,005,412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138,765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סכומי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המחדל</w:t>
      </w:r>
      <w:r>
        <w:rPr>
          <w:rtl w:val="true"/>
        </w:rPr>
        <w:t xml:space="preserve">).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2008-2007</w:t>
      </w:r>
      <w:r>
        <w:rPr>
          <w:rtl w:val="true"/>
        </w:rPr>
        <w:t xml:space="preserve">, </w:t>
      </w:r>
      <w:r>
        <w:rPr>
          <w:rtl w:val="true"/>
        </w:rPr>
        <w:t>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287,767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בעשותו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1,005,412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תמצית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אמנון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21.1.14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43406-05-13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</w:rPr>
          <w:t>220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201,424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138,765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לפי</w:t>
      </w:r>
      <w:r>
        <w:rPr>
          <w:rFonts w:cs="Times New Roman"/>
          <w:u w:val="single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1,459,692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1,005,412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43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: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);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זד</w:t>
      </w:r>
      <w:r>
        <w:rPr>
          <w:rtl w:val="true"/>
        </w:rPr>
        <w:t xml:space="preserve">. </w:t>
      </w:r>
      <w:r>
        <w:rPr>
          <w:rtl w:val="true"/>
        </w:rPr>
        <w:t>איי</w:t>
      </w:r>
      <w:r>
        <w:rPr>
          <w:rtl w:val="true"/>
        </w:rPr>
        <w:t xml:space="preserve">. </w:t>
      </w:r>
      <w:r>
        <w:rPr>
          <w:rtl w:val="true"/>
        </w:rPr>
        <w:t>הפקות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 xml:space="preserve">.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",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כזמר</w:t>
      </w:r>
      <w:r>
        <w:rPr>
          <w:rtl w:val="true"/>
        </w:rPr>
        <w:t xml:space="preserve">, </w:t>
      </w:r>
      <w:r>
        <w:rPr>
          <w:rtl w:val="true"/>
        </w:rPr>
        <w:t>מלחין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,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והטלוויזיה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מוסיקליים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רשת</w:t>
      </w:r>
      <w:r>
        <w:rPr>
          <w:rtl w:val="true"/>
        </w:rPr>
        <w:t xml:space="preserve">). </w:t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המוסיקה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40%</w:t>
      </w:r>
      <w:r>
        <w:rPr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60%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אמנון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סדר הדין הפלילי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משולב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1982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מסמיך את בית משפט שהרשיע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לבטל את הרשעתו במסגרת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עליו צו מבחן או צו שירות לתועלת הציבור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הימנעות מהרשעה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הקביעה כי הנאשם ביצע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חריג שבחריגים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ושמורה למקרים מיוחדים ויוצאי דופן </w:t>
      </w:r>
      <w:r>
        <w:rPr>
          <w:rFonts w:cs="Arial" w:ascii="Arial" w:hAnsi="Arial"/>
          <w:rtl w:val="true"/>
        </w:rPr>
        <w:t>(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7109/14</w:t>
        </w:r>
      </w:hyperlink>
      <w:r>
        <w:rPr>
          <w:rFonts w:cs="Arial" w:ascii="Arial" w:hAnsi="Arial"/>
          <w:rtl w:val="true"/>
        </w:rPr>
        <w:t xml:space="preserve"> </w:t>
      </w:r>
      <w:bookmarkStart w:id="10" w:name="Text1"/>
      <w:r>
        <w:rPr>
          <w:rFonts w:ascii="Arial" w:hAnsi="Arial" w:cs="Arial"/>
          <w:b/>
          <w:b/>
          <w:bCs/>
          <w:rtl w:val="true"/>
        </w:rPr>
        <w:t>צור סייג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</w:t>
      </w:r>
      <w:bookmarkEnd w:id="10"/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20.11.14</w:t>
      </w:r>
      <w:r>
        <w:rPr>
          <w:rFonts w:cs="Arial" w:ascii="Arial" w:hAnsi="Arial"/>
          <w:rtl w:val="true"/>
        </w:rPr>
        <w:t xml:space="preserve">);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8528/12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אלירן </w:t>
      </w:r>
      <w:r>
        <w:rPr>
          <w:rFonts w:ascii="Arial" w:hAnsi="Arial" w:cs="Arial"/>
          <w:b/>
          <w:b/>
          <w:bCs/>
          <w:rtl w:val="true"/>
        </w:rPr>
        <w:t>צפורה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3.3.13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2083/96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כתב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 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נב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337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343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הלכת כתב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דורנר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הימנעות מהרשעה אפשרית אפוא </w:t>
      </w:r>
      <w:r>
        <w:rPr>
          <w:rFonts w:ascii="Arial" w:hAnsi="Arial" w:cs="Arial"/>
          <w:b/>
          <w:b/>
          <w:bCs/>
          <w:rtl w:val="true"/>
        </w:rPr>
        <w:t>בהצטבר</w:t>
      </w:r>
      <w:r>
        <w:rPr>
          <w:rFonts w:ascii="Arial" w:hAnsi="Arial" w:cs="Arial"/>
          <w:rtl w:val="true"/>
        </w:rPr>
        <w:t xml:space="preserve"> שני תנאים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התנאי הראשון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על ההרשעה לפגוע פגיעה חמורה בשיקום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להצביע על נזק קונקרטי שעלול להיגרם לו מעצם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התנאי השני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סוג העבירה מאפשר לוותר בנסיבות המקרה המסוים על ההרשעה בלי לפגוע באופן מהותי בשיקולי הענישה האחרים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אעמוד להלן על כל אחד מהתנאים בנפרד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4.2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שופט</w:t>
      </w:r>
      <w:r>
        <w:rPr>
          <w:rtl w:val="true"/>
        </w:rPr>
        <w:t xml:space="preserve">"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</w:t>
      </w:r>
      <w:r>
        <w:rPr>
          <w:rtl w:val="true"/>
        </w:rPr>
        <w:t xml:space="preserve">"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מוסיקליים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4.2</w:t>
      </w:r>
      <w:r>
        <w:rPr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4.2</w:t>
      </w:r>
      <w:r>
        <w:rPr>
          <w:rtl w:val="true"/>
        </w:rPr>
        <w:t xml:space="preserve"> </w:t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/>
        <w:t>4.2.1</w:t>
      </w:r>
      <w:r>
        <w:rPr>
          <w:rtl w:val="true"/>
        </w:rPr>
        <w:tab/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/>
        <w:t>4.2.2</w:t>
      </w:r>
      <w:r>
        <w:rPr>
          <w:rtl w:val="true"/>
        </w:rPr>
        <w:tab/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לערוץ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מעילה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קיומם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הצילומים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/>
        <w:t>4.2.3</w:t>
      </w:r>
      <w:r>
        <w:rPr>
          <w:rtl w:val="true"/>
        </w:rPr>
        <w:t>.</w:t>
        <w:tab/>
      </w:r>
      <w:r>
        <w:rPr>
          <w:rtl w:val="true"/>
        </w:rPr>
        <w:t>הערוץ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להוצאתו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ממעגל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בתחום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והמוסיקה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ומוסיקאי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בפסיקה נקבע כי חומרה יתרה אוחזת בעבירות המס ולו בשל היותן מבוצעות בנקל ושלא תחת החזות העבריינית האופפת עבירות פליליות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חומרתן 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יונקת מכוח פגיעתן הקשה בעיקרון השוויון בין נישומים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מכוח פגיעתן בקופה הציבורית וברווחת החברה בכללותה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 הרשעת נאשם בעבירת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טומנת בחובה סיכון רב בדמות שליחת מסר שלילי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לעבור את העבירה מבלי לשאת באחריות 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ההלכה הנוהגת היא שיש לבכר את אינטרס הציבור על פני עניינו הפרטי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ולסיים את ההליך הפלילי בעבירות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מדובר </w:t>
      </w:r>
      <w:r>
        <w:rPr>
          <w:rFonts w:ascii="Arial" w:hAnsi="Arial" w:cs="Arial"/>
          <w:b/>
          <w:b/>
          <w:bCs/>
          <w:u w:val="single"/>
          <w:rtl w:val="true"/>
        </w:rPr>
        <w:t>בעבירות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על אף הנזק שעלול להיגרם לנאשם במישור התעסוקתי מעצם ההרשעה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מלכיאלי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 xml:space="preserve">);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7135/10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יגאל חן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יא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3.11.10</w:t>
      </w:r>
      <w:r>
        <w:rPr>
          <w:rFonts w:cs="Arial" w:ascii="Arial" w:hAnsi="Arial"/>
          <w:rtl w:val="true"/>
        </w:rPr>
        <w:t xml:space="preserve">); 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7917/04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בסרגליק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14.11.04</w:t>
      </w:r>
      <w:r>
        <w:rPr>
          <w:rFonts w:cs="Arial" w:ascii="Arial" w:hAnsi="Arial"/>
          <w:rtl w:val="true"/>
        </w:rPr>
        <w:t xml:space="preserve">);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בן סנן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], (</w:t>
      </w:r>
      <w:r>
        <w:rPr>
          <w:rFonts w:cs="Arial" w:ascii="Arial" w:hAnsi="Arial"/>
        </w:rPr>
        <w:t>17.9.13</w:t>
      </w:r>
      <w:r>
        <w:rPr>
          <w:rFonts w:cs="Arial" w:ascii="Arial" w:hAnsi="Arial"/>
          <w:rtl w:val="true"/>
        </w:rPr>
        <w:t xml:space="preserve">);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4606/01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יעקב סופר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], (</w:t>
      </w:r>
      <w:r>
        <w:rPr>
          <w:rFonts w:cs="Arial" w:ascii="Arial" w:hAnsi="Arial"/>
        </w:rPr>
        <w:t>3.1.02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ואם זו ההלכה הנוהגת בעבירות מס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על אף הנזק שייגרם לנאשם במישור התעסוקתי מעצם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להעדיף את האינטרס הציבורי בדבר הרשעת נאשמים על פני האינטרס האישי של כל אחד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שקל וחומר בעת שמדובר בעבירות מס מסוג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,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1840/12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עוזר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30.4.13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הורשע בעבירות מס מסוג פשע הן לפי </w:t>
      </w: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והן לפי 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בסכומי השתמטות ממס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כסמן ברור למידת החומרה הגבוהה של העבירות שבוצעו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לא מותיר מקום לספק שיש לדחות את בקשות הנאשם לביטול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יהא הנזק אשר ייגרם לו אשר יהא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לסיכום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הבקשה של הנאשם לביטול ההרשעה נדחית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בעניינו של אמנון קבעתי שלעניין </w:t>
      </w:r>
      <w:r>
        <w:rPr>
          <w:rFonts w:ascii="Arial" w:hAnsi="Arial" w:cs="Arial"/>
          <w:u w:val="single"/>
          <w:rtl w:val="true"/>
        </w:rPr>
        <w:t xml:space="preserve">העבירות לפי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שבוצעו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סך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שלא שולם היה </w:t>
      </w:r>
      <w:r>
        <w:rPr>
          <w:rFonts w:cs="Arial" w:ascii="Arial" w:hAnsi="Arial"/>
        </w:rPr>
        <w:t>201,424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שלא שולם על ידי הנאשם שבפני היה </w:t>
      </w:r>
      <w:r>
        <w:rPr>
          <w:rFonts w:cs="Arial" w:ascii="Arial" w:hAnsi="Arial"/>
        </w:rPr>
        <w:t>138,765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שהפער בין שני הסכומים איננו משמעותי ולכן המתחם שרלוונטי לעבירות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שבוצעו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להיות קל יותר מזה שנקבע בעניינו של אמנון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באופן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בעבירות לפי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שבוצעו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לענין מתחם הקנס ההולם בעניינו של אמנון קבעתי שהמתחם נע בין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דומני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שניתן לאמץ את אותו מתחם קנס הולם גם לגבי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 כל שכן לאור העובדה שגם הנאשם וגם אמנון לא הביאו נתונים לעניין מצבם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כנתון מכריע בקביעת גבולות המתחם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בהרחבה פסקאות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לגזר הדין של אמנון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אמנון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קבעתי שלעניין </w:t>
      </w:r>
      <w:r>
        <w:rPr>
          <w:rFonts w:ascii="Arial" w:hAnsi="Arial" w:cs="Arial"/>
          <w:u w:val="single"/>
          <w:rtl w:val="true"/>
        </w:rPr>
        <w:t xml:space="preserve">העבירות שביצע לפי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מתחם העונש ההולם 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ומתחם הקנס ההולם נע בין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סכום ההכנסה שלא דווחה עמד על סך של </w:t>
      </w:r>
      <w:r>
        <w:rPr>
          <w:rFonts w:cs="Arial" w:ascii="Arial" w:hAnsi="Arial"/>
        </w:rPr>
        <w:t>1,459,692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ההכנסה שלא דווחה על ידי הנאשם עמדה על סך של </w:t>
      </w:r>
      <w:r>
        <w:rPr>
          <w:rFonts w:cs="Arial" w:ascii="Arial" w:hAnsi="Arial"/>
        </w:rPr>
        <w:t>1,005,412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הפערים אינם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ניתן לעשות הפחתה בגבולות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כאן במידה קלה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לעבירות שביצע הנאשם לפי 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הקנס ההולם לגבי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עבירות מס הכנסה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יהיה זהה למתחם שנקבע בעניינו של אמנון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ההקלה בגבולות המתחם בעניינו של הנאשם ביחס לגבולות המתחם שנקבעו בעניינו של אמנון נעשתה תוך לקיחה בחשבון של העובדה כי חלוקת הרווחים בין הנאשם לאמנון לא היתה שווה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פסקה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 לגזר הדין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מצאתי שמתקיימות אצל הנאשם נסיבות מיוחדות שמצדיקות סטייה לקולא ממתחם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לקולא את העובדות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נשוי ואב לילדים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החרטה שהביע על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הודייתו בכתב האישום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 אף שניתנה לאחר תחילת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הודה במיוחס לו עוד בשלב החקירה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נתון מרכזי נוסף שנלקח בחשבון בעת קביעת העונש המתאים בתוך מתחם העונש ההולם הוא </w:t>
      </w:r>
      <w:r>
        <w:rPr>
          <w:rFonts w:ascii="Arial" w:hAnsi="Arial" w:cs="Arial"/>
          <w:b/>
          <w:b/>
          <w:bCs/>
          <w:rtl w:val="true"/>
        </w:rPr>
        <w:t>עיקרון האחידות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הנאשם לבין אמנון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הדמיון שבין אמנון לנאשם לעניין אופן קביעת העונש המתאים בתוך מתחם העונש ההולם עמדתי לעיל בפסקה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שעיקרון שוויון הנאשמים בפני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נגזר עיקרון אחידות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כלל יסוד בתורת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מורה כי על מצבים דומים מבחינת אופי העבירות ונסיבות אישיות של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להחיל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האפשר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שיקולי ענישה דומים </w:t>
      </w:r>
      <w:r>
        <w:rPr>
          <w:rFonts w:cs="Arial" w:ascii="Arial" w:hAnsi="Arial"/>
          <w:rtl w:val="true"/>
        </w:rPr>
        <w:t>(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4022/15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יוסף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14.6.15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; 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8443/15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חגולי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15.12.15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; 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טייברג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) (</w:t>
      </w:r>
      <w:r>
        <w:rPr>
          <w:rFonts w:cs="Arial" w:ascii="Arial" w:hAnsi="Arial"/>
        </w:rPr>
        <w:t>23.12.13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שעונשו של הנאשם </w:t>
      </w:r>
      <w:r>
        <w:rPr>
          <w:rFonts w:ascii="Arial" w:hAnsi="Arial" w:cs="Arial"/>
          <w:u w:val="single"/>
          <w:rtl w:val="true"/>
        </w:rPr>
        <w:t>לא יכול להיות חמור יותר</w:t>
      </w:r>
      <w:r>
        <w:rPr>
          <w:rFonts w:ascii="Arial" w:hAnsi="Arial" w:cs="Arial"/>
          <w:rtl w:val="true"/>
        </w:rPr>
        <w:t xml:space="preserve"> מהעונש שהושת על אמנון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שטענה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עונשו של הנאשם גם </w:t>
      </w:r>
      <w:r>
        <w:rPr>
          <w:rFonts w:ascii="Arial" w:hAnsi="Arial" w:cs="Arial"/>
          <w:u w:val="single"/>
          <w:rtl w:val="true"/>
        </w:rPr>
        <w:t>לא יכול להיות שווה</w:t>
      </w:r>
      <w:r>
        <w:rPr>
          <w:rFonts w:ascii="Arial" w:hAnsi="Arial" w:cs="Arial"/>
          <w:rtl w:val="true"/>
        </w:rPr>
        <w:t xml:space="preserve"> לעונש שהושת על אמנון </w:t>
      </w:r>
      <w:r>
        <w:rPr>
          <w:rFonts w:ascii="Arial" w:hAnsi="Arial" w:cs="Arial"/>
          <w:u w:val="single"/>
          <w:rtl w:val="true"/>
        </w:rPr>
        <w:t>אלא קל</w:t>
      </w:r>
      <w:r>
        <w:rPr>
          <w:rFonts w:ascii="Arial" w:hAnsi="Arial" w:cs="Arial"/>
          <w:rtl w:val="true"/>
        </w:rPr>
        <w:t xml:space="preserve">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פחות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לאור השוני ביניהם בהיקף העבירות שבוצעו וסכומי ההשתמטות ממס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בהרחבה לעיל פסקאות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לגזר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הקלה זו איננה אמורה להיות כה משמעותית עד כדי הסתפקות במאסר על תנאי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יש להשית עליו מאסר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לתקופה קצרה יותר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שיקול נוסף לקולא שלקחתי בחשבון בעת קביעת העונש המתאים מתוך מתחם העונש ההולם הוא </w:t>
      </w:r>
      <w:r>
        <w:rPr>
          <w:rFonts w:ascii="Arial" w:hAnsi="Arial" w:cs="Arial"/>
          <w:b/>
          <w:b/>
          <w:bCs/>
          <w:rtl w:val="true"/>
        </w:rPr>
        <w:t>הסרת המחדלים</w:t>
      </w:r>
      <w:r>
        <w:rPr>
          <w:rFonts w:ascii="Arial" w:hAnsi="Arial" w:cs="Arial"/>
          <w:rtl w:val="true"/>
        </w:rPr>
        <w:t xml:space="preserve">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שדיווח על הכנסותיו ושילם את גובה המחדלים שנובעים מהעבירות שבוצעו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כלפי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והן כלפי רשויות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מחדל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25.10.15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שבמדיניות</w:t>
      </w:r>
      <w:r>
        <w:rPr>
          <w:rtl w:val="true"/>
        </w:rPr>
        <w:t xml:space="preserve">,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המחדלים הוסרו לאחר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אני לוקח בחשבון שהדבר נעשה לאחר חלוף מספר חודשים ממועד הגשתו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הסרת המחדלים אמנם מהווה שיקול לקולא בקביעת העונש המתאים 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איננה יכולה להצדיק סטייה לקולא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העדר הטלת רכיב של מאסר בפועל שירוצה בדרך של עבודות שירות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 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14.11.2016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במפקדת עבודות השירות של שירות בתי הסוהר ברמלה לתחילת ריצוי עבודות 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עבודות השירות ירוצו בבית אבות 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בולגרי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ברחוב האם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ראשון לציון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יועסק חמישה 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שעות עבודה יומיות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יעבור עבירה מסוג פשע לפי חוק מס ערך ומוסף או לפי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60,000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בהם עד ליום </w:t>
      </w:r>
      <w:r>
        <w:rPr>
          <w:rFonts w:cs="Arial" w:ascii="Arial" w:hAnsi="Arial"/>
        </w:rPr>
        <w:t>1.12.16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לאחריו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ולא יעמוד באחד התשלומים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 יעמוד מלוא סכום הקנס שנותר לפירעון מידי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43400-05-13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רשות המיסים</w:t>
    </w:r>
    <w:r>
      <w:rPr>
        <w:rFonts w:cs="David" w:ascii="David" w:hAnsi="David"/>
        <w:color w:val="000000"/>
        <w:sz w:val="22"/>
        <w:szCs w:val="22"/>
        <w:rtl w:val="true"/>
      </w:rPr>
      <w:t xml:space="preserve">, </w:t>
    </w:r>
    <w:r>
      <w:rPr>
        <w:rFonts w:ascii="David" w:hAnsi="David"/>
        <w:color w:val="000000"/>
        <w:sz w:val="22"/>
        <w:sz w:val="22"/>
        <w:szCs w:val="22"/>
        <w:rtl w:val="true"/>
      </w:rPr>
      <w:t>היחידה המשפטית אזור מרכז ותיקים מיוחדים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פרץ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b.1" TargetMode="External"/><Relationship Id="rId4" Type="http://schemas.openxmlformats.org/officeDocument/2006/relationships/hyperlink" Target="http://www.nevo.co.il/law/72813/117.b.6" TargetMode="External"/><Relationship Id="rId5" Type="http://schemas.openxmlformats.org/officeDocument/2006/relationships/hyperlink" Target="http://www.nevo.co.il/law/72813/117.b.8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20.1" TargetMode="External"/><Relationship Id="rId8" Type="http://schemas.openxmlformats.org/officeDocument/2006/relationships/hyperlink" Target="http://www.nevo.co.il/law/84255/220.4" TargetMode="External"/><Relationship Id="rId9" Type="http://schemas.openxmlformats.org/officeDocument/2006/relationships/hyperlink" Target="http://www.nevo.co.il/law/84255/220.5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92a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84255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law/72813/117.b.1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84255/220.1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case/7887664" TargetMode="External"/><Relationship Id="rId25" Type="http://schemas.openxmlformats.org/officeDocument/2006/relationships/hyperlink" Target="http://www.nevo.co.il/law/72813/117.b.6" TargetMode="External"/><Relationship Id="rId26" Type="http://schemas.openxmlformats.org/officeDocument/2006/relationships/hyperlink" Target="http://www.nevo.co.il/law/72813/117.b.8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law/84255/220.4" TargetMode="External"/><Relationship Id="rId29" Type="http://schemas.openxmlformats.org/officeDocument/2006/relationships/hyperlink" Target="http://www.nevo.co.il/law/84255/220.5" TargetMode="External"/><Relationship Id="rId30" Type="http://schemas.openxmlformats.org/officeDocument/2006/relationships/hyperlink" Target="http://www.nevo.co.il/law/84255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law/72813" TargetMode="External"/><Relationship Id="rId34" Type="http://schemas.openxmlformats.org/officeDocument/2006/relationships/hyperlink" Target="http://www.nevo.co.il/law/84255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law/74903/192a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case/18107808" TargetMode="External"/><Relationship Id="rId41" Type="http://schemas.openxmlformats.org/officeDocument/2006/relationships/hyperlink" Target="http://www.nevo.co.il/case/5608134" TargetMode="External"/><Relationship Id="rId42" Type="http://schemas.openxmlformats.org/officeDocument/2006/relationships/hyperlink" Target="http://www.nevo.co.il/case/5810781" TargetMode="External"/><Relationship Id="rId43" Type="http://schemas.openxmlformats.org/officeDocument/2006/relationships/hyperlink" Target="http://www.nevo.co.il/case/5722235" TargetMode="External"/><Relationship Id="rId44" Type="http://schemas.openxmlformats.org/officeDocument/2006/relationships/hyperlink" Target="http://www.nevo.co.il/case/6096267" TargetMode="External"/><Relationship Id="rId45" Type="http://schemas.openxmlformats.org/officeDocument/2006/relationships/hyperlink" Target="http://www.nevo.co.il/case/6116277" TargetMode="External"/><Relationship Id="rId46" Type="http://schemas.openxmlformats.org/officeDocument/2006/relationships/hyperlink" Target="http://www.nevo.co.il/case/8244915" TargetMode="External"/><Relationship Id="rId47" Type="http://schemas.openxmlformats.org/officeDocument/2006/relationships/hyperlink" Target="http://www.nevo.co.il/case/5962249" TargetMode="External"/><Relationship Id="rId48" Type="http://schemas.openxmlformats.org/officeDocument/2006/relationships/hyperlink" Target="http://www.nevo.co.il/case/5578161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law/84255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law/72813" TargetMode="External"/><Relationship Id="rId53" Type="http://schemas.openxmlformats.org/officeDocument/2006/relationships/hyperlink" Target="http://www.nevo.co.il/law/84255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case/20344860" TargetMode="External"/><Relationship Id="rId56" Type="http://schemas.openxmlformats.org/officeDocument/2006/relationships/hyperlink" Target="http://www.nevo.co.il/case/20791687" TargetMode="External"/><Relationship Id="rId57" Type="http://schemas.openxmlformats.org/officeDocument/2006/relationships/hyperlink" Target="http://www.nevo.co.il/case/8286014" TargetMode="External"/><Relationship Id="rId58" Type="http://schemas.openxmlformats.org/officeDocument/2006/relationships/hyperlink" Target="http://www.nevo.co.il/case/10486210" TargetMode="External"/><Relationship Id="rId59" Type="http://schemas.openxmlformats.org/officeDocument/2006/relationships/hyperlink" Target="http://www.nevo.co.il/law/84255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2016-11-02T13:17:00Z</dcterms:created>
  <dc:creator> </dc:creator>
  <dc:description/>
  <cp:keywords/>
  <dc:language>en-IL</dc:language>
  <cp:lastModifiedBy>orly</cp:lastModifiedBy>
  <dcterms:modified xsi:type="dcterms:W3CDTF">2016-11-02T13:17:00Z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-רשות המיסים, היחידה המשפטית אזור מרכז ותיקים מיוחדים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משה פרץ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ProcID=262&amp;PartA=2008&amp;PartC=20</vt:lpwstr>
  </property>
  <property fmtid="{D5CDD505-2E9C-101B-9397-08002B2CF9AE}" pid="9" name="CASESLISTTMP1">
    <vt:lpwstr>7887664;18107808;5608134;5810781;5722235;6096267;6116277;8244915;5962249;5578161;20344860;20791687;8286014;10486210</vt:lpwstr>
  </property>
  <property fmtid="{D5CDD505-2E9C-101B-9397-08002B2CF9AE}" pid="10" name="CITY">
    <vt:lpwstr>רמ'</vt:lpwstr>
  </property>
  <property fmtid="{D5CDD505-2E9C-101B-9397-08002B2CF9AE}" pid="11" name="DATE">
    <vt:lpwstr>20161025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72813/117.b.1;117.b.6;117.b.8</vt:lpwstr>
  </property>
  <property fmtid="{D5CDD505-2E9C-101B-9397-08002B2CF9AE}" pid="16" name="LAWLISTTMP2">
    <vt:lpwstr>84255/220.1;220.4;220.5</vt:lpwstr>
  </property>
  <property fmtid="{D5CDD505-2E9C-101B-9397-08002B2CF9AE}" pid="17" name="LAWLISTTMP3">
    <vt:lpwstr>74903/192a</vt:lpwstr>
  </property>
  <property fmtid="{D5CDD505-2E9C-101B-9397-08002B2CF9AE}" pid="18" name="LAWYER">
    <vt:lpwstr>אלי כהן;אפרים דמרי;חובב דמרי ;איריס טוביאנה;מירי בנהרדיתי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שירי</vt:lpwstr>
  </property>
  <property fmtid="{D5CDD505-2E9C-101B-9397-08002B2CF9AE}" pid="25" name="NEWPARTA">
    <vt:lpwstr>43400</vt:lpwstr>
  </property>
  <property fmtid="{D5CDD505-2E9C-101B-9397-08002B2CF9AE}" pid="26" name="NEWPARTB">
    <vt:lpwstr>05</vt:lpwstr>
  </property>
  <property fmtid="{D5CDD505-2E9C-101B-9397-08002B2CF9AE}" pid="27" name="NEWPARTC">
    <vt:lpwstr>13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</vt:lpwstr>
  </property>
  <property fmtid="{D5CDD505-2E9C-101B-9397-08002B2CF9AE}" pid="51" name="NOSE31">
    <vt:lpwstr>מדיניות ענישה: עבירות מס</vt:lpwstr>
  </property>
  <property fmtid="{D5CDD505-2E9C-101B-9397-08002B2CF9AE}" pid="52" name="NOSE310">
    <vt:lpwstr/>
  </property>
  <property fmtid="{D5CDD505-2E9C-101B-9397-08002B2CF9AE}" pid="53" name="NOSE32">
    <vt:lpwstr>מדיניות ענישה: אי-הרשעה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12048;11690</vt:lpwstr>
  </property>
  <property fmtid="{D5CDD505-2E9C-101B-9397-08002B2CF9AE}" pid="62" name="PADIDATE">
    <vt:lpwstr>20161102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3</vt:lpwstr>
  </property>
  <property fmtid="{D5CDD505-2E9C-101B-9397-08002B2CF9AE}" pid="71" name="TYPE_ABS_DATE">
    <vt:lpwstr>380120161025</vt:lpwstr>
  </property>
  <property fmtid="{D5CDD505-2E9C-101B-9397-08002B2CF9AE}" pid="72" name="TYPE_N_DATE">
    <vt:lpwstr>38020161025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