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4347-02-23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מדיגם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אלון גביזון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נועה שוקר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פאיז אבו מדיגם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בעצמו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שרה חביב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7" w:name="ABSTRACT_START"/>
      <w:bookmarkEnd w:id="7"/>
      <w:r>
        <w:rPr>
          <w:rFonts w:ascii="David" w:hAnsi="David"/>
          <w:rtl w:val="true"/>
        </w:rPr>
        <w:t>הנאשם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 הודאתו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עבירה לפי </w:t>
      </w:r>
      <w:hyperlink r:id="rId6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bookmarkStart w:id="8" w:name="ABSTRACT_END"/>
      <w:bookmarkEnd w:id="8"/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כתב האישום והסדר הטיעון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הינו בעל חנויות במתחם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בעיר רהט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המתחם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ומשכיר את חנות </w:t>
      </w:r>
      <w:r>
        <w:rPr>
          <w:rFonts w:cs="David" w:ascii="David" w:hAnsi="David"/>
        </w:rPr>
        <w:t>Black Boss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החנות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הנמצאת במתחם לז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 xml:space="preserve">ס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ascii="David" w:hAnsi="David"/>
          <w:b/>
          <w:b/>
          <w:bCs/>
          <w:rtl w:val="true"/>
        </w:rPr>
        <w:t>ס</w:t>
      </w:r>
      <w:r>
        <w:rPr>
          <w:rFonts w:cs="David" w:ascii="David" w:hAnsi="David"/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13.1.23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21:30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בוצע ירי לכיוון החנות ממקור שאינו ידוע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בסמוך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הנאשם למתחם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זמן מה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שוטרים למתחם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ערכו חיפוש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ומצאו ברשותו נשק – אקדח חצי אוטומט מסוג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אוס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תפסו את הנשק ועצרו את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הורשע במסגרת הסדר טיעון לאחר סיום שמיעת עדי המאשימה ושמיעת חלק מעדי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והצדדים עתרו במשותף כי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יגזור עליו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מאסר בפועל לתקופה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שירוצה בדרך של עבודות שירות 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בכפוף לחוות דעת הממונה על עבודות השירות וככל שלא ימצא מתאים יבוצע המאסר מאחורי סורג ובריח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מאסר על תנאי בעבירות נשק ואלימות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לשיקול דעת בית המשפט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60,000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שישולם בשלושה תשלומים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כשהתשלום הראשון בסך </w:t>
      </w:r>
      <w:r>
        <w:rPr>
          <w:rFonts w:cs="David" w:ascii="David" w:hAnsi="David"/>
        </w:rPr>
        <w:t>20,000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ישולם  בתוך שבועיים מיום גזר הדין והיתרה בתשלומים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חתימה על התחייבות כספית בסך </w:t>
      </w:r>
      <w:r>
        <w:rPr>
          <w:rFonts w:cs="David" w:ascii="David" w:hAnsi="David"/>
        </w:rPr>
        <w:t>20,000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להימנע מביצוע כל עבירת אלימות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טרם גזירת עונשו</w:t>
      </w:r>
      <w:r>
        <w:rPr>
          <w:rFonts w:ascii="David" w:hAnsi="David"/>
          <w:rtl w:val="true"/>
        </w:rPr>
        <w:t xml:space="preserve">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עתרו באי כוח הצדדים במשותף לקבלת חוות דעת הממונה על 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על פי חוות דעת הממונה על עבודות השירות מיום </w:t>
      </w:r>
      <w:r>
        <w:rPr>
          <w:rFonts w:cs="David" w:ascii="David" w:hAnsi="David"/>
        </w:rPr>
        <w:t>21.08.24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 הנאשם מתאים לריצוי עונש מאסר בדרך של עבודות שירות במועצה הדתית אופקים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ראיות וטיעונים לעונש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במסגרת הראיות לעונש הגיש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את רישומו הפלילי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הכולל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 בפועל לתקופה של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בגין עבירות משנת </w:t>
      </w:r>
      <w:r>
        <w:rPr>
          <w:rFonts w:cs="David" w:ascii="David" w:hAnsi="David"/>
        </w:rPr>
        <w:t>2006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סיכון אדם בנתיב תחבורה והפרעה לשוטר במילוי תפקידו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לא הגישה ראיות לעונש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המאשימה</w:t>
      </w:r>
      <w:r>
        <w:rPr>
          <w:rFonts w:ascii="David" w:hAnsi="David"/>
          <w:rtl w:val="true"/>
        </w:rPr>
        <w:t xml:space="preserve"> עתר לכיבוד ההסדר וטען כי כתב האישום תוקן מעבירה של הובלה ונשיאה לעבירת החזקת אקדח וזאת בשל קשיים ראייתיים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והגם שהענישה במסגרת ההסדר אינה מחמירה היא תואמת את נסיבות ביצוע העבירה  והעובדה כי עסקינן בהחזקה רגעית של אקדח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הדגיש כי הסדר הטיעון מביא בחשבון את ויתורו של הנאשם על טענה מזכה מסוג הגנת הכורח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על פי גרסתו מצא את האקדח והחזיקו עד לבוא המשטרה כדי למנוע שימוש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 לאמור הוסיף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כי למרות שלא קיבל את גרסתו של הנאשם הרי שחלק מהראיות בתיק תומכות בה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ציין כי הסדר הטיעון כולל רכיבי ענישה נוספים בדמות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גבוה והתחייבות כספית על סכום לא מבוטל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המהווים רכיבי ענישה נוספים שיש בהם כדי לאזן את הרכיב של עבודות השירות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כשנשאל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בית המשפט האם בכל מקרה של החזקה קצרה של אקדח תעתור המאשימה למאסר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השיב בשלילה והדגיש את ייחודו של האירוע שבענייננו ובדגש על ויתורו של הנאשם על טענת הגנת הכורח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וכשנשאל אודות הטעם שבהטלת מאסר בדרך של עבודות שירות על נאשם שכבר ריצה עונש של מאסר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השיב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כי הרשעתו הקודמת של הנאשם הייתה בתיק תעבורה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ביקשה לאמץ הסדר הטיעון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לטענתה תיקון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הקושי הראייתי המשמעותי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וויתורו של הנאשם על טענות שיכולות היו להוביל לזיכויו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מחייבות את המסקנה כי  ההסדר סביר ולא נפל פגם בשיקולי המאשימה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מלכתחילה לא הייתה בין הצדדים מחלוקת לעניין ההחזקה במקום ובזמן וטענת הנאשם הייתה שהגיע למקום בעקבות אירוע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 את האקדח ובשל המהומה ואופי האירוע חשש שייעשה שימוש בנשק ולכן החזיקו עד לבואם של השוטרים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הסנגורית הדגישה בטיעוניה כי מאחר והנאשם ויתר על טענת הגנת כורח הרי שעל בית המשפט לתן משקל משמעותי לאינטרס ההסתמכות שלו עת הוא בוחן את סבירות הסדר הטיעון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הסנגורית הוסיפה כי טענת הכורח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עליה ויתר הנאשם במסגרת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נטענה בעלמא והיא מבוססת בראיות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כדוגמת עדותו של ע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אשר הוגשה בהסכמה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תוך שהמדינה ויתרה על חקירתו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לדברי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ובמסגרת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ויתרה ההגנה על שמיעת עדים נוספים שיתכן והיו מחזקים את גרסתו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והסדר הטיעון אף משקלל את ויתורה לחשוף את פרטי המודיע במסגרת עתירתה לעיון חוזר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בשים לב לנסיבות ההחזקה הפגיעה בערכים המוגנים אינה ברף הגבוה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לא קדם לעבירה תכנון 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הייתה בהחזקה כוונה לפגוע ולא נגרם נזק קונקרטי כתוצאה ממעשיו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הסנגורית ביקשה כי בית המשפט ייתן דעתו כי הנאשם נשוי ואב לשבעה ילדים ובעקבות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וביתר שאת מאז מלחמת חרבות הברזל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ספג פגיעה כלכלית קשה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 ביקשה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להתחשב בימי מעצרו של הנאשם מיום </w:t>
      </w:r>
      <w:r>
        <w:rPr>
          <w:rFonts w:cs="David" w:ascii="David" w:hAnsi="David"/>
        </w:rPr>
        <w:t>13.01.23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ליום </w:t>
      </w:r>
      <w:r>
        <w:rPr>
          <w:rFonts w:cs="David" w:ascii="David" w:hAnsi="David"/>
        </w:rPr>
        <w:t>28.02.23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בתקופת מעצרו באיזוק אלקטרוני עד ליום </w:t>
      </w:r>
      <w:r>
        <w:rPr>
          <w:rFonts w:cs="David" w:ascii="David" w:hAnsi="David"/>
        </w:rPr>
        <w:t>29.05.23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והוסיפה כי מאז ובמשך שנה וחצי שוהה הנאשם במעצר בית מלא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טענה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כי בשים לב לפסיקה הנוהגת הסדר הטיעון אינו מקל באופן קיצוני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ובוודאי שלא באופן המחייב את התערבותו של בית המשפט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הגישה פסיקה לעניין כיבוד הסדר הטיעון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לעניין מתחמי הענישה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ולעניין משמעות הסכמתה של המדינה להגשת הודעתו במשטרה של עד תוך ויתור על חקירתו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ascii="David" w:hAnsi="David"/>
          <w:rtl w:val="true"/>
        </w:rPr>
        <w:t xml:space="preserve"> אמר כי הוא מתנצל ומצטער על מעשיו וטעה כאשר החזיק את הנשק גם אם לתקופה קצרה וללא כוונה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לכבד את ההסדר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לדבריו לאחר </w:t>
      </w:r>
      <w:r>
        <w:rPr>
          <w:rFonts w:cs="David" w:ascii="David" w:hAnsi="David"/>
        </w:rPr>
        <w:t>07.10.23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העמיד אוטובוסים לטובת עיריית אופקים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הקיבוצים והמושבים במועצות האזוריות בני שמעון ואשכול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לשאלת בית המשפט הבהיר כי על רוב ההסעות קיבל תשלום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דיון והכרעה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יליד </w:t>
      </w:r>
      <w:r>
        <w:rPr>
          <w:rFonts w:cs="David" w:ascii="David" w:hAnsi="David"/>
        </w:rPr>
        <w:t>1988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במסגרת הסדר טיעון 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לאחר שהחזיק אקדח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במעשה העבירה פגע הנאשם בערכים המוגנים של שמירה על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שלמות הגוף ובטחון הציבור ושלוותו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כפי שכתבתי במקרה אחר </w:t>
      </w:r>
      <w:r>
        <w:rPr>
          <w:rFonts w:cs="David" w:ascii="David" w:hAnsi="David"/>
          <w:rtl w:val="true"/>
        </w:rPr>
        <w:t>(</w:t>
      </w:r>
      <w:hyperlink r:id="rId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31036-10-23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מוחרב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עבירות הנשק הופכות את הציבור כולו לקורבן פוטנציאלי ועל בית המשפט להחמיר בענישה ולתרום חלקו במיגור התופעה הפושה בחברה בכלל ובחברה הערבית בפרט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לעניין מגמת ההחמרה בענישה בעבירות בנשק ראה גם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2564/19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אזברגה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18.7.2019</w:t>
      </w:r>
      <w:r>
        <w:rPr>
          <w:rFonts w:cs="David" w:ascii="David" w:hAnsi="David"/>
          <w:rtl w:val="true"/>
        </w:rPr>
        <w:t xml:space="preserve">), </w:t>
      </w:r>
      <w:hyperlink r:id="rId1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147/21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ביטון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14.02.2021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</w:t>
      </w:r>
      <w:hyperlink r:id="rId1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6383/21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קרייף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13.02.2022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לצד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כתב האישום המתוקן בו הודה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לקוני בחלקו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שותק באשר לסיבה שבעטיה החזיק הנאשם באקדח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מבהיר האם קיים קשר בין הירי שבוצע לעבר החנות לבין החזקת האקדח ואינו מפרט את זמן ההחזקה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לקולת העונש נתתי דעתי להודאתו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לדברי החרטה שהשמיע ולחסכון החלקי בזמנו של בית המשפט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כמו כן נתתי דעתי לימי מעצרו של הנאשם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באיזוק אלקטרוני ולתקופת שהותו בתנאים מגבילים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ששמעתי טיעוני באי כוח הצדדים ואיזנתי בין השיקולים לקולא ולחומרא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אומר כבר עתה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הסדר הטיעון מקל מאוד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קל וחומר נוכח עברו הפלילי הכולל מאסר מאחורי סורג ובריח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אלמלא הסדר הטיעון היה מקום לגזור על הנאשם מאסר מאחורי סורג ובריח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דומה כי  האינטרס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עקרון 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הרתעת הרבים והרתעת היחיד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מחייבים ענישה מוחשית יותר ומאסר ממושך יותר מאחורי סורג ובריח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סבורני כי הסדר הטיעון נמצא בגבול מבחן האיזון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בכדי וטרם שמיעת הטיעונים לעונש הודעתי לצדדים כי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שוקל התערבות לחומרא בהסדר הטיעון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לעניין מבחן האיזון ראה דברי בית המשפט </w:t>
      </w:r>
      <w:r>
        <w:rPr>
          <w:rFonts w:ascii="David" w:hAnsi="David"/>
          <w:b/>
          <w:b/>
          <w:bCs/>
          <w:rtl w:val="true"/>
        </w:rPr>
        <w:t>ב</w:t>
      </w:r>
      <w:hyperlink r:id="rId1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1958/98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ד נז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cs="David" w:ascii="David" w:hAnsi="David"/>
        </w:rPr>
        <w:t>577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25.12.20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785" w:end="1276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ab/>
        <w:t>"</w:t>
      </w:r>
      <w:r>
        <w:rPr>
          <w:rFonts w:ascii="David" w:hAnsi="David"/>
          <w:b/>
          <w:b/>
          <w:bCs/>
          <w:rtl w:val="true"/>
        </w:rPr>
        <w:t>במסגרת בחינתו של העונש המוצע ייתן בית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המשפט דעתו על כל שיקולי הענישה הרלוונטיים ויבחן אם העונש המוצע מקיים את האיזון הדרוש ביניהם</w:t>
      </w:r>
      <w:r>
        <w:rPr>
          <w:rFonts w:cs="David" w:ascii="David" w:hAnsi="David"/>
          <w:b/>
          <w:bCs/>
          <w:rtl w:val="true"/>
        </w:rPr>
        <w:t xml:space="preserve">... </w:t>
      </w:r>
    </w:p>
    <w:p>
      <w:pPr>
        <w:pStyle w:val="Normal"/>
        <w:spacing w:lineRule="auto" w:line="360"/>
        <w:ind w:start="1785" w:end="1276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הוא יבחן את העונש על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פי אמות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המידה שמנינו ויבדוק אם העונש המוסכם שהוצע לו אינו מפר את האיזון הדרוש בין טובת ההנאה שהנאשם מקבל לבין אינטרס הציבור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אם שוכנע בית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המשפט בקיומו של איזון כאמור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יאמץ את הסדר הטיעון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אם הופר האיזון האמור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אם התביעה הכללית חרגה בהפעלת השקלול ההולם במזיד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בשוגג או בתום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לב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ואם ציפיות הנאשם מנותקות מהצדקה עניינית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יסטה בית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המשפט מההסדר המוצע ויגזור את הדין על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פי שיקול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דעתו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720" w:end="1276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בלי היסוס ועם לא מעט לבטים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בהינתן מדיניות בי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המשפט הנוגעת לכיבוד הסדרי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בנסיבות שבענייננו שלא לחרוג מההסדר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כפי שהודיעו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הסדר הטיעון משקלל בתוכו ויתור של הנאשם על טענה מזכה שיש לה עיגון מסוים בחומר הראיות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ברי כי לא בנקל יסטה בית המשפט מהסדר טיעון שכזה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הוא הסדר מקל מאוד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בבחינת הסדר הטיעון שבענייננו על בית המשפט לתן משקל משמעותי לעקרון ההסתמכות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ראה לעניין זה </w:t>
      </w:r>
      <w:hyperlink r:id="rId1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1958/98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25.12.2002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נתתי דעתי לתקופת מעצרו מאחורי סורג ובריח כמו גם לגובה הקנס שבהסדר הטיעון המשקף ענישה כלכלית מחמירה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המפצה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באופן מסוים על קלות רכיב המאסר שבו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בתקופת המאסר הקצרה יחסית שבהסדר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שכאמור תרוצה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להחמיר ברכיב המאסר המותנה שיוטל על הנאשם וזאת כדי להרתיעו מביצוע עבירות בעתיד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משהנאשם העיד בפני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מצאתי להבהיר כי לא אחרוג מהסדר הטיעון מהסיבות שפרטתי לעיל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ולאו דווקא מהתרשמותי ממהימנות עדותו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אותה לא אפרט במסגרת גזר הדין  נוכח הסדר הטיעון ומשיתר עדי ההגנה לא נשמעו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האמור הנני גוזר על הנאשם את העונשים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מאסר בפועל לתקופה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שירוצו בדרך של עבודות שירות במועצה הדתית אופקים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ברחוב אלי כהן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אופקים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הנאשם יתייצב ביום </w:t>
      </w:r>
      <w:r>
        <w:rPr>
          <w:rFonts w:cs="David" w:ascii="David" w:hAnsi="David"/>
        </w:rPr>
        <w:t>10.11.24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08:00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במשרדי הממונה על עבודות השירות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יחידת ברקאי –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שלוחה דרום – סמוך לכלא באר שבע לצורך קליטה והצבה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הובהר לנאשם כי במסגרת עבודות השירות  ובהתאם לחוות דעת הממונה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יועסק חמישה ימים בשבוע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טווח השעות המתאפשר ב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ייתכנו שינויים במקום העבודה ושעות העבודה והכל בהתאם להנחיות הממונה על עבודות השירות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מובהרת לנאשם משמעות אי עמידה בעבודות שירות אשר יכול ותביא להפסקת ריצוי העונש בדרך של עבודות שירות ונשיאת יתרת העונש מאחורי סורג  ובריח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למשך שלוש שנים מהיום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שלא יעבור עבירה בנשק לפי </w:t>
      </w:r>
      <w:hyperlink r:id="rId15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על חלופותיו השונות או עבירה לפי </w:t>
      </w:r>
      <w:hyperlink r:id="rId1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340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לחוק העונשין על חלופותיו השונות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למשך שלוש שנים מהיום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יעבור עבירת אלימות מסוג 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קנס בסך של </w:t>
      </w:r>
      <w:r>
        <w:rPr>
          <w:rFonts w:cs="David" w:ascii="David" w:hAnsi="David"/>
        </w:rPr>
        <w:t>60,000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תמורתו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הקנס ישולם בשלושה תשלומים כאשר התשלום הראשון בסך </w:t>
      </w:r>
      <w:r>
        <w:rPr>
          <w:rFonts w:cs="David" w:ascii="David" w:hAnsi="David"/>
        </w:rPr>
        <w:t>20,000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ישולם לא יאוחר מיום </w:t>
      </w:r>
      <w:r>
        <w:rPr>
          <w:rFonts w:cs="David" w:ascii="David" w:hAnsi="David"/>
        </w:rPr>
        <w:t>20.11.24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 תשולם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 שווים ורצופים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 מכן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הנאשם יחתום על התחייבות כספית בסך </w:t>
      </w:r>
      <w:r>
        <w:rPr>
          <w:rFonts w:cs="David" w:ascii="David" w:hAnsi="David"/>
        </w:rPr>
        <w:t>20,000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שתוקפה למשך שלוש שנים מהיום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לבל יעבור כל עבירת אלימות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ההתחייבות תחתם עוד היום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05.11.24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תחתם ייעצר ויובא בפני שופט תוך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לידיעת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tl w:val="true"/>
        </w:rPr>
        <w:t xml:space="preserve">, </w:t>
      </w:r>
      <w:r>
        <w:rPr>
          <w:rtl w:val="true"/>
        </w:rPr>
        <w:t>אגרות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ind w:hanging="360" w:start="1080" w:end="0"/>
        <w:jc w:val="start"/>
        <w:rPr>
          <w:rFonts w:ascii="David" w:hAnsi="David" w:cs="David"/>
          <w:b/>
          <w:bCs/>
        </w:rPr>
      </w:pPr>
      <w:r>
        <w:rPr>
          <w:rFonts w:ascii="David" w:hAnsi="David" w:cs="Times New Roman"/>
          <w:b/>
          <w:b/>
          <w:bCs/>
          <w:rtl w:val="true"/>
        </w:rPr>
        <w:t>בכרטיס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ascii="David" w:hAnsi="David" w:cs="Times New Roman"/>
          <w:b/>
          <w:b/>
          <w:bCs/>
          <w:rtl w:val="true"/>
        </w:rPr>
        <w:t>אשראי</w:t>
      </w:r>
      <w:r>
        <w:rPr>
          <w:rFonts w:ascii="David" w:hAnsi="David" w:cs="David"/>
          <w:rtl w:val="true"/>
        </w:rPr>
        <w:t xml:space="preserve"> – </w:t>
      </w:r>
      <w:r>
        <w:rPr>
          <w:rFonts w:ascii="David" w:hAnsi="David" w:cs="Times New Roman"/>
          <w:rtl w:val="true"/>
        </w:rPr>
        <w:t>באתר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ascii="David" w:hAnsi="David" w:cs="Times New Roman"/>
          <w:rtl w:val="true"/>
        </w:rPr>
        <w:t>המקוון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ascii="David" w:hAnsi="David" w:cs="Times New Roman"/>
          <w:rtl w:val="true"/>
        </w:rPr>
        <w:t>של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ascii="David" w:hAnsi="David" w:cs="Times New Roman"/>
          <w:rtl w:val="true"/>
        </w:rPr>
        <w:t>רשות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ascii="David" w:hAnsi="David" w:cs="Times New Roman"/>
          <w:rtl w:val="true"/>
        </w:rPr>
        <w:t>האכיפה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ascii="David" w:hAnsi="David" w:cs="Times New Roman"/>
          <w:rtl w:val="true"/>
        </w:rPr>
        <w:t>והגבייה</w:t>
      </w:r>
      <w:r>
        <w:rPr>
          <w:rFonts w:cs="David" w:ascii="David" w:hAnsi="David"/>
          <w:rtl w:val="true"/>
        </w:rPr>
        <w:t xml:space="preserve">, </w:t>
      </w:r>
      <w:hyperlink r:id="rId18">
        <w:r>
          <w:rPr>
            <w:rStyle w:val="Hyperlink"/>
            <w:rFonts w:cs="David" w:ascii="David" w:hAnsi="David"/>
          </w:rPr>
          <w:t>www.eca.gov.il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Times New Roman" w:ascii="David" w:hAnsi="David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ind w:hanging="360" w:start="1080" w:end="0"/>
        <w:jc w:val="start"/>
        <w:rPr>
          <w:rFonts w:ascii="David" w:hAnsi="David" w:cs="David"/>
          <w:b/>
          <w:bCs/>
        </w:rPr>
      </w:pPr>
      <w:r>
        <w:rPr>
          <w:rFonts w:ascii="David" w:hAnsi="David" w:cs="Times New Roman"/>
          <w:b/>
          <w:b/>
          <w:bCs/>
          <w:rtl w:val="true"/>
        </w:rPr>
        <w:t>מוקד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ascii="David" w:hAnsi="David" w:cs="Times New Roman"/>
          <w:b/>
          <w:b/>
          <w:bCs/>
          <w:rtl w:val="true"/>
        </w:rPr>
        <w:t>שירות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ascii="David" w:hAnsi="David" w:cs="Times New Roman"/>
          <w:b/>
          <w:b/>
          <w:bCs/>
          <w:rtl w:val="true"/>
        </w:rPr>
        <w:t>טלפוני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ascii="David" w:hAnsi="David" w:cs="Times New Roman"/>
          <w:b/>
          <w:b/>
          <w:bCs/>
          <w:rtl w:val="true"/>
        </w:rPr>
        <w:t>בשרות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ascii="David" w:hAnsi="David" w:cs="Times New Roman"/>
          <w:b/>
          <w:b/>
          <w:bCs/>
          <w:rtl w:val="true"/>
        </w:rPr>
        <w:t>עצמי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 w:cs="Times New Roman"/>
          <w:b/>
          <w:b/>
          <w:bCs/>
          <w:rtl w:val="true"/>
        </w:rPr>
        <w:t>מרכז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ascii="David" w:hAnsi="David" w:cs="Times New Roman"/>
          <w:b/>
          <w:b/>
          <w:bCs/>
          <w:rtl w:val="true"/>
        </w:rPr>
        <w:t>גבייה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Times New Roman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 – </w:t>
      </w:r>
      <w:r>
        <w:rPr>
          <w:rFonts w:ascii="David" w:hAnsi="David" w:cs="Times New Roman"/>
          <w:b/>
          <w:b/>
          <w:bCs/>
          <w:rtl w:val="true"/>
        </w:rPr>
        <w:t>בטלפון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35592</w:t>
      </w:r>
      <w:r>
        <w:rPr>
          <w:rFonts w:cs="David" w:ascii="David" w:hAnsi="David"/>
          <w:b/>
          <w:bCs/>
          <w:rtl w:val="true"/>
        </w:rPr>
        <w:t xml:space="preserve">* </w:t>
      </w:r>
      <w:r>
        <w:rPr>
          <w:rFonts w:ascii="David" w:hAnsi="David" w:cs="Times New Roman"/>
          <w:b/>
          <w:b/>
          <w:bCs/>
          <w:rtl w:val="true"/>
        </w:rPr>
        <w:t>או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ascii="David" w:hAnsi="David" w:cs="Times New Roman"/>
          <w:b/>
          <w:b/>
          <w:bCs/>
          <w:rtl w:val="true"/>
        </w:rPr>
        <w:t>בטלפון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073-2055000</w:t>
      </w:r>
    </w:p>
    <w:p>
      <w:pPr>
        <w:pStyle w:val="ListParagraph"/>
        <w:numPr>
          <w:ilvl w:val="0"/>
          <w:numId w:val="1"/>
        </w:numPr>
        <w:ind w:hanging="360" w:start="1080" w:end="0"/>
        <w:jc w:val="start"/>
        <w:rPr>
          <w:rFonts w:ascii="David" w:hAnsi="David" w:cs="David"/>
          <w:b/>
          <w:bCs/>
        </w:rPr>
      </w:pPr>
      <w:r>
        <w:rPr>
          <w:rFonts w:ascii="David" w:hAnsi="David" w:cs="Times New Roman"/>
          <w:b/>
          <w:b/>
          <w:bCs/>
          <w:rtl w:val="true"/>
        </w:rPr>
        <w:t>במזומן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ascii="David" w:hAnsi="David" w:cs="Times New Roman"/>
          <w:b/>
          <w:b/>
          <w:bCs/>
          <w:rtl w:val="true"/>
        </w:rPr>
        <w:t>בכל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ascii="David" w:hAnsi="David" w:cs="Times New Roman"/>
          <w:b/>
          <w:b/>
          <w:bCs/>
          <w:rtl w:val="true"/>
        </w:rPr>
        <w:t>סניף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ascii="David" w:hAnsi="David" w:cs="Times New Roman"/>
          <w:b/>
          <w:b/>
          <w:bCs/>
          <w:rtl w:val="true"/>
        </w:rPr>
        <w:t>של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ascii="David" w:hAnsi="David" w:cs="Times New Roman"/>
          <w:b/>
          <w:b/>
          <w:bCs/>
          <w:rtl w:val="true"/>
        </w:rPr>
        <w:t>בנק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ascii="David" w:hAnsi="David" w:cs="Times New Roman"/>
          <w:b/>
          <w:b/>
          <w:bCs/>
          <w:rtl w:val="true"/>
        </w:rPr>
        <w:t>הדואר</w:t>
      </w:r>
      <w:r>
        <w:rPr>
          <w:rFonts w:ascii="David" w:hAnsi="David" w:cs="David"/>
          <w:rtl w:val="true"/>
        </w:rPr>
        <w:t xml:space="preserve"> – </w:t>
      </w:r>
      <w:r>
        <w:rPr>
          <w:rFonts w:ascii="David" w:hAnsi="David" w:cs="Times New Roman"/>
          <w:rtl w:val="true"/>
        </w:rPr>
        <w:t>בהצגת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ascii="David" w:hAnsi="David" w:cs="Times New Roman"/>
          <w:rtl w:val="true"/>
        </w:rPr>
        <w:t>תעודת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ascii="David" w:hAnsi="David" w:cs="Times New Roman"/>
          <w:rtl w:val="true"/>
        </w:rPr>
        <w:t>זהות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ascii="David" w:hAnsi="David" w:cs="Times New Roman"/>
          <w:rtl w:val="true"/>
        </w:rPr>
        <w:t>בלבד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Times New Roman"/>
          <w:rtl w:val="true"/>
        </w:rPr>
        <w:t>אין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ascii="David" w:hAnsi="David" w:cs="Times New Roman"/>
          <w:rtl w:val="true"/>
        </w:rPr>
        <w:t>צורך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ascii="David" w:hAnsi="David" w:cs="Times New Roman"/>
          <w:rtl w:val="true"/>
        </w:rPr>
        <w:t>בשוברי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ascii="David" w:hAnsi="David" w:cs="Times New Roman"/>
          <w:rtl w:val="true"/>
        </w:rPr>
        <w:t>תשלום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/>
          <w:b/>
          <w:b/>
          <w:bCs/>
          <w:rtl w:val="true"/>
        </w:rPr>
        <w:t xml:space="preserve">זכות ערעור 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ימים לבית המשפט העליון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חשוון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נובמבר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אלון גביזון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4347-02-23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פאיז אבו מדיגם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ListParagraphChar">
    <w:name w:val="List Paragraph Char"/>
    <w:qFormat/>
    <w:rPr>
      <w:rFonts w:ascii="Calibri" w:hAnsi="Calibri" w:cs="Calibri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Calibri" w:hAnsi="Calibri" w:eastAsia="Calibri" w:cs="Calibri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340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30107767" TargetMode="External"/><Relationship Id="rId9" Type="http://schemas.openxmlformats.org/officeDocument/2006/relationships/hyperlink" Target="http://www.nevo.co.il/case/25612982" TargetMode="External"/><Relationship Id="rId10" Type="http://schemas.openxmlformats.org/officeDocument/2006/relationships/hyperlink" Target="http://www.nevo.co.il/case/27309272" TargetMode="External"/><Relationship Id="rId11" Type="http://schemas.openxmlformats.org/officeDocument/2006/relationships/hyperlink" Target="http://www.nevo.co.il/case/27925239" TargetMode="External"/><Relationship Id="rId12" Type="http://schemas.openxmlformats.org/officeDocument/2006/relationships/hyperlink" Target="http://www.nevo.co.il/case/161892" TargetMode="External"/><Relationship Id="rId13" Type="http://schemas.openxmlformats.org/officeDocument/2006/relationships/hyperlink" Target="http://www.nevo.co.il/case/16189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40a" TargetMode="External"/><Relationship Id="rId18" Type="http://schemas.openxmlformats.org/officeDocument/2006/relationships/hyperlink" Target="http://www.eca.gov.il/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2024-11-10T12:46:00Z</dcterms:created>
  <dc:creator> </dc:creator>
  <dc:description/>
  <cp:keywords/>
  <dc:language>en-IL</dc:language>
  <cp:lastModifiedBy>h1</cp:lastModifiedBy>
  <dcterms:modified xsi:type="dcterms:W3CDTF">2024-11-10T12:46:00Z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פאיז אבו מדיגם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30107767;25612982;27309272;27925239;161892:2</vt:lpwstr>
  </property>
  <property fmtid="{D5CDD505-2E9C-101B-9397-08002B2CF9AE}" pid="9" name="CITY">
    <vt:lpwstr>ב"ש</vt:lpwstr>
  </property>
  <property fmtid="{D5CDD505-2E9C-101B-9397-08002B2CF9AE}" pid="10" name="DATE">
    <vt:lpwstr>20241105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אלון גביזון</vt:lpwstr>
  </property>
  <property fmtid="{D5CDD505-2E9C-101B-9397-08002B2CF9AE}" pid="14" name="LAWLISTTMP1">
    <vt:lpwstr>70301/144.a;144;340a</vt:lpwstr>
  </property>
  <property fmtid="{D5CDD505-2E9C-101B-9397-08002B2CF9AE}" pid="15" name="LAWYER">
    <vt:lpwstr>נועה שוקר;שרה חביב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4347</vt:lpwstr>
  </property>
  <property fmtid="{D5CDD505-2E9C-101B-9397-08002B2CF9AE}" pid="22" name="NEWPARTB">
    <vt:lpwstr>02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390020241105</vt:lpwstr>
  </property>
  <property fmtid="{D5CDD505-2E9C-101B-9397-08002B2CF9AE}" pid="34" name="TYPE_N_DATE">
    <vt:lpwstr>39020241105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