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224"/>
        <w:gridCol w:w="4248"/>
        <w:gridCol w:w="99"/>
      </w:tblGrid>
      <w:tr>
        <w:trPr>
          <w:trHeight w:val="704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2024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43471-12-22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סבילה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hyperlink r:id="rId3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1771-08-22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סבילה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547788/2022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תביעות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נגב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יזרעאלי</w:t>
            </w:r>
          </w:p>
        </w:tc>
      </w:tr>
      <w:tr>
        <w:trPr/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עזאדין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מחמד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אבו סבילה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נסאר</w:t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384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>פרק 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>יא  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שלפני נותן את הדין בגין 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התפרצות למגורים לבצע עבירה בצוותא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14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406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hyperlink r:id="rId15">
        <w:r>
          <w:rPr>
            <w:rStyle w:val="Hyperlink"/>
            <w:rFonts w:ascii="David" w:hAnsi="David" w:eastAsia="David"/>
            <w:rtl w:val="true"/>
          </w:rPr>
          <w:t>וסעיף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29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ז – </w:t>
      </w:r>
      <w:r>
        <w:rPr>
          <w:rFonts w:eastAsia="David" w:cs="David" w:ascii="David" w:hAnsi="David"/>
        </w:rPr>
        <w:t>1977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גניבה בצוותא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17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384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וסעיף </w:t>
      </w:r>
      <w:hyperlink r:id="rId18">
        <w:r>
          <w:rPr>
            <w:rStyle w:val="Hyperlink"/>
            <w:rFonts w:eastAsia="David" w:cs="David" w:ascii="David" w:hAnsi="David"/>
          </w:rPr>
          <w:t>29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לאותו החוק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סיוע לגניבת רכב בצוותא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19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413</w:t>
        </w:r>
        <w:r>
          <w:rPr>
            <w:rStyle w:val="Hyperlink"/>
            <w:rFonts w:ascii="David" w:hAnsi="David" w:eastAsia="David"/>
            <w:rtl w:val="true"/>
          </w:rPr>
          <w:t>ב</w:t>
        </w:r>
      </w:hyperlink>
      <w:r>
        <w:rPr>
          <w:rFonts w:ascii="David" w:hAnsi="David" w:eastAsia="David"/>
          <w:rtl w:val="true"/>
        </w:rPr>
        <w:t xml:space="preserve"> </w:t>
      </w:r>
      <w:hyperlink r:id="rId20">
        <w:r>
          <w:rPr>
            <w:rStyle w:val="Hyperlink"/>
            <w:rFonts w:ascii="David" w:hAnsi="David" w:eastAsia="David"/>
            <w:rtl w:val="true"/>
          </w:rPr>
          <w:t>וסעיפים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29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 xml:space="preserve">- </w:t>
      </w:r>
      <w:hyperlink r:id="rId21">
        <w:r>
          <w:rPr>
            <w:rStyle w:val="Hyperlink"/>
            <w:rFonts w:eastAsia="David" w:cs="David" w:ascii="David" w:hAnsi="David"/>
          </w:rPr>
          <w:t>31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לאותו החוק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החזקת אגרופן או סכין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22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186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לאותו החוק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").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האב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סוכות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 xml:space="preserve">") </w:t>
      </w:r>
      <w:r>
        <w:rPr>
          <w:rtl w:val="true"/>
        </w:rPr>
        <w:t>ובשימושו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76-311-76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 </w:t>
      </w:r>
      <w:r>
        <w:rPr>
          <w:rtl w:val="true"/>
        </w:rPr>
        <w:t xml:space="preserve">/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04.12.22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02:20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גלקסי</w:t>
      </w:r>
      <w:r>
        <w:rPr>
          <w:rFonts w:cs="Times New Roman"/>
          <w:rtl w:val="true"/>
        </w:rPr>
        <w:t xml:space="preserve"> </w:t>
      </w:r>
      <w:r>
        <w:rPr/>
        <w:t>A7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הרכוש</w:t>
      </w:r>
      <w:r>
        <w:rPr>
          <w:rtl w:val="true"/>
        </w:rPr>
        <w:t xml:space="preserve">"),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02:44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הצירוף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14.10.21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03:11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טוביהו</w:t>
      </w:r>
      <w:r>
        <w:rPr>
          <w:rFonts w:cs="Times New Roman"/>
          <w:rtl w:val="true"/>
        </w:rPr>
        <w:t xml:space="preserve"> </w:t>
      </w:r>
      <w:r>
        <w:rPr/>
        <w:t>131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גיליון הרשעות קודמות פלילי של הנאשם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3</w:t>
      </w:r>
      <w:r>
        <w:rPr>
          <w:rFonts w:ascii="A028 Extrabold;Times New Roman" w:hAnsi="A028 Extrabold;Times New Roman" w:eastAsia="David" w:cs="A028 Extrabold;Times New Roman"/>
          <w:rtl w:val="true"/>
        </w:rPr>
        <w:t>א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') </w:t>
      </w:r>
      <w:r>
        <w:rPr>
          <w:rFonts w:eastAsia="David" w:cs="A028 Extrabold;Times New Roman" w:ascii="A028 Extrabold;Times New Roman" w:hAnsi="A028 Extrabold;Times New Roman"/>
          <w:rtl w:val="true"/>
        </w:rPr>
        <w:t>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לחובת הנאשם ריבוי הרשעות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אשר חלקן חוזרות ונשנות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בעבירות של ניסיון גניבה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פריצה לבנין שאינו דירה ובצוע גניבה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היזק לרכוש במזיד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ניסיון לגניבת 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חבלה במזיד ברכב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גניבה מרכב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ניסיון לפריצה לרכב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פירוק חלקים מרכב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קשירת קשר לעשות פשע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גניבת 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פריצה לרכב בכוונה לגנוב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הפרת הוראה חוקית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התנהגות פרועה במקום ציבורי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תקיפת עובד ציבור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הפרעת שוטר במילוי תפקידו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התחזות כאדם אחר במטרה להונות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החזקה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ascii="A028 Extrabold;Times New Roman" w:hAnsi="A028 Extrabold;Times New Roman" w:eastAsia="David" w:cs="A028 Extrabold;Times New Roman"/>
          <w:rtl w:val="true"/>
        </w:rPr>
        <w:t>שימוש בסמים לצריכה עצמית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גיליון הרשעות קודמות תעבורתי של הנאשם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3</w:t>
      </w:r>
      <w:r>
        <w:rPr>
          <w:rFonts w:ascii="A028 Extrabold;Times New Roman" w:hAnsi="A028 Extrabold;Times New Roman" w:eastAsia="David" w:cs="A028 Extrabold;Times New Roman"/>
          <w:rtl w:val="true"/>
        </w:rPr>
        <w:t>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') </w:t>
      </w:r>
      <w:r>
        <w:rPr>
          <w:rFonts w:eastAsia="David" w:cs="A028 Extrabold;Times New Roman" w:ascii="A028 Extrabold;Times New Roman" w:hAnsi="A028 Extrabold;Times New Roman"/>
          <w:rtl w:val="true"/>
        </w:rPr>
        <w:t>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לחובת הנאשם הרשעות חוזרות ונשנות בעבירות של נהיגה ללא רישיון נהיגה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מעולם לא הוציא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);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נהיגה בזמן פסילה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פסילת בית משפט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בכיוון ההפוך בכביש חד סטרי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ברכב לא תקין שהוחלט לאסור את השימוש בו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במהירות מופרזת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גזר דין </w:t>
      </w:r>
      <w:hyperlink r:id="rId23"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</w:rPr>
          <w:t>56495-09-16</w:t>
        </w:r>
      </w:hyperlink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- </w:t>
      </w:r>
      <w:r>
        <w:rPr>
          <w:rFonts w:eastAsia="David" w:cs="A028 Extrabold;Times New Roman" w:ascii="A028 Extrabold;Times New Roman" w:hAnsi="A028 Extrabold;Times New Roman"/>
        </w:rPr>
        <w:t>20509-04-17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מיום </w:t>
      </w:r>
      <w:r>
        <w:rPr>
          <w:rFonts w:eastAsia="David" w:cs="A028 Extrabold;Times New Roman" w:ascii="A028 Extrabold;Times New Roman" w:hAnsi="A028 Extrabold;Times New Roman"/>
        </w:rPr>
        <w:t>04.02.21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להוכחת מאסר מותנה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4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 </w:t>
      </w:r>
      <w:r>
        <w:rPr>
          <w:rFonts w:eastAsia="David" w:cs="A028 Extrabold;Times New Roman" w:ascii="A028 Extrabold;Times New Roman" w:hAnsi="A028 Extrabold;Times New Roman"/>
          <w:rtl w:val="true"/>
        </w:rPr>
        <w:t>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הנאשם הורשע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במסגרת הסדר טיעון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בעבירות של פריצה לרכב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גניבה מרכב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חבלה במזיד ברכב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eastAsia="David" w:cs="A028 Extrabold;Times New Roman"/>
          <w:rtl w:val="true"/>
        </w:rPr>
        <w:t>בנוסף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צירף תיק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במסגרת ההסדר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שענינו סיוע לפריצה לרכב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חבלה במזיד ברכב והפרת הוראה חוקית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eastAsia="David" w:cs="A028 Extrabold;Times New Roman"/>
          <w:rtl w:val="true"/>
        </w:rPr>
        <w:t>במסגרת ההסדר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נגזרו על הנאשם </w:t>
      </w:r>
      <w:r>
        <w:rPr>
          <w:rFonts w:eastAsia="David" w:cs="A028 Extrabold;Times New Roman" w:ascii="A028 Extrabold;Times New Roman" w:hAnsi="A028 Extrabold;Times New Roman"/>
        </w:rPr>
        <w:t>4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על תנאי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למשך שנתיים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אם יעבור עבירה בניגוד לפרק </w:t>
      </w:r>
      <w:hyperlink r:id="rId24">
        <w:r>
          <w:rPr>
            <w:rStyle w:val="Hyperlink"/>
            <w:rFonts w:ascii="A028 Extrabold;Times New Roman" w:hAnsi="A028 Extrabold;Times New Roman" w:eastAsia="David" w:cs="A028 Extrabold;Times New Roman"/>
            <w:rtl w:val="true"/>
          </w:rPr>
          <w:t>י</w:t>
        </w:r>
        <w:r>
          <w:rPr>
            <w:rStyle w:val="Hyperlink"/>
            <w:rFonts w:eastAsia="David" w:cs="A028 Extrabold;Times New Roman" w:ascii="A028 Extrabold;Times New Roman" w:hAnsi="A028 Extrabold;Times New Roman"/>
            <w:rtl w:val="true"/>
          </w:rPr>
          <w:t>"</w:t>
        </w:r>
        <w:r>
          <w:rPr>
            <w:rStyle w:val="Hyperlink"/>
            <w:rFonts w:ascii="A028 Extrabold;Times New Roman" w:hAnsi="A028 Extrabold;Times New Roman" w:eastAsia="David" w:cs="A028 Extrabold;Times New Roman"/>
            <w:rtl w:val="true"/>
          </w:rPr>
          <w:t>א</w:t>
        </w:r>
        <w:r>
          <w:rPr>
            <w:rStyle w:val="Hyperlink"/>
            <w:rFonts w:eastAsia="David" w:cs="A028 Extrabold;Times New Roman" w:ascii="A028 Extrabold;Times New Roman" w:hAnsi="A028 Extrabold;Times New Roman"/>
            <w:rtl w:val="true"/>
          </w:rPr>
          <w:t xml:space="preserve">, </w:t>
        </w:r>
        <w:r>
          <w:rPr>
            <w:rStyle w:val="Hyperlink"/>
            <w:rFonts w:ascii="A028 Extrabold;Times New Roman" w:hAnsi="A028 Extrabold;Times New Roman" w:eastAsia="David" w:cs="A028 Extrabold;Times New Roman"/>
            <w:rtl w:val="true"/>
          </w:rPr>
          <w:t>סימן</w:t>
        </w:r>
        <w:r>
          <w:rPr>
            <w:rStyle w:val="Hyperlink"/>
            <w:rFonts w:ascii="A028 Extrabold;Times New Roman" w:hAnsi="A028 Extrabold;Times New Roman" w:eastAsia="David" w:cs="A028 Extrabold;Times New Roman"/>
            <w:rtl w:val="true"/>
          </w:rPr>
          <w:t xml:space="preserve"> </w:t>
        </w:r>
        <w:r>
          <w:rPr>
            <w:rStyle w:val="Hyperlink"/>
            <w:rFonts w:ascii="A028 Extrabold;Times New Roman" w:hAnsi="A028 Extrabold;Times New Roman" w:eastAsia="David" w:cs="A028 Extrabold;Times New Roman"/>
            <w:rtl w:val="true"/>
          </w:rPr>
          <w:t>ה</w:t>
        </w:r>
        <w:r>
          <w:rPr>
            <w:rStyle w:val="Hyperlink"/>
            <w:rFonts w:eastAsia="David" w:cs="A028 Extrabold;Times New Roman" w:ascii="A028 Extrabold;Times New Roman" w:hAnsi="A028 Extrabold;Times New Roman"/>
            <w:rtl w:val="true"/>
          </w:rPr>
          <w:t>'</w:t>
        </w:r>
      </w:hyperlink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ב</w:t>
      </w:r>
      <w:hyperlink r:id="rId25"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העונשין</w:t>
        </w:r>
      </w:hyperlink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וכן פיצוי לכל אחד מהניזוקים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בסך </w:t>
      </w:r>
      <w:r>
        <w:rPr>
          <w:rFonts w:eastAsia="David" w:cs="A028 Extrabold;Times New Roman" w:ascii="A028 Extrabold;Times New Roman" w:hAnsi="A028 Extrabold;Times New Roman"/>
        </w:rPr>
        <w:t>500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₪.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גזר הדין בענינו של המעורב הנוסף בעבירות נושא תיק האב 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- </w:t>
      </w:r>
      <w:hyperlink r:id="rId26"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</w:rPr>
          <w:t>51479-12-22</w:t>
        </w:r>
      </w:hyperlink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מיום </w:t>
      </w:r>
      <w:r>
        <w:rPr>
          <w:rFonts w:eastAsia="David" w:cs="A028 Extrabold;Times New Roman" w:ascii="A028 Extrabold;Times New Roman" w:hAnsi="A028 Extrabold;Times New Roman"/>
        </w:rPr>
        <w:t>06.06.23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5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 </w:t>
      </w:r>
      <w:r>
        <w:rPr>
          <w:rFonts w:eastAsia="David" w:cs="A028 Extrabold;Times New Roman" w:ascii="A028 Extrabold;Times New Roman" w:hAnsi="A028 Extrabold;Times New Roman"/>
          <w:rtl w:val="true"/>
        </w:rPr>
        <w:t>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השותף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יוסף אבו זקיקה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הורשע בעבירות של הסגת גבול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גניבה וגניבת 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eastAsia="David" w:cs="A028 Extrabold;Times New Roman"/>
          <w:rtl w:val="true"/>
        </w:rPr>
        <w:t>בין הצדדים נערך הסדר טיעון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אשר </w:t>
      </w:r>
      <w:r>
        <w:rPr>
          <w:rFonts w:ascii="A028 Extrabold;Times New Roman" w:hAnsi="A028 Extrabold;Times New Roman" w:eastAsia="David" w:cs="A028 Extrabold;Times New Roman"/>
          <w:u w:val="single"/>
          <w:rtl w:val="true"/>
        </w:rPr>
        <w:t>נעוץ היה בקושי ראייתי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וכלל הסכמה לענין העונש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במסגרתה נדון אותו מעורב ל</w:t>
      </w:r>
      <w:r>
        <w:rPr>
          <w:rFonts w:eastAsia="David" w:cs="A028 Extrabold;Times New Roman" w:ascii="A028 Extrabold;Times New Roman" w:hAnsi="A028 Extrabold;Times New Roman"/>
          <w:rtl w:val="true"/>
        </w:rPr>
        <w:t>-</w:t>
      </w:r>
      <w:r>
        <w:rPr>
          <w:rFonts w:eastAsia="David" w:cs="A028 Extrabold;Times New Roman" w:ascii="A028 Extrabold;Times New Roman" w:hAnsi="A028 Extrabold;Times New Roman"/>
        </w:rPr>
        <w:t>15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בפועל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מאסרים מותנים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קנס בסך </w:t>
      </w:r>
      <w:r>
        <w:rPr>
          <w:rFonts w:eastAsia="David" w:cs="A028 Extrabold;Times New Roman" w:ascii="A028 Extrabold;Times New Roman" w:hAnsi="A028 Extrabold;Times New Roman"/>
        </w:rPr>
        <w:t>2,000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₪;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פיצוי בסך </w:t>
      </w:r>
      <w:r>
        <w:rPr>
          <w:rFonts w:eastAsia="David" w:cs="A028 Extrabold;Times New Roman" w:ascii="A028 Extrabold;Times New Roman" w:hAnsi="A028 Extrabold;Times New Roman"/>
        </w:rPr>
        <w:t>2,000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₪;  </w:t>
      </w:r>
      <w:r>
        <w:rPr>
          <w:rFonts w:ascii="A028 Extrabold;Times New Roman" w:hAnsi="A028 Extrabold;Times New Roman" w:eastAsia="David" w:cs="A028 Extrabold;Times New Roman"/>
          <w:rtl w:val="true"/>
        </w:rPr>
        <w:t>פסילת רישיון נהיגה על תנאי למשך חצי שנה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u w:val="single"/>
          <w:rtl w:val="true"/>
        </w:rPr>
        <w:t>ההגנה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לא הגישה ראיות לענין העונש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u w:val="single"/>
          <w:rtl w:val="true"/>
        </w:rPr>
        <w:t>התביעה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הגישה טיעוניה בכתב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6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 </w:t>
      </w:r>
      <w:r>
        <w:rPr>
          <w:rFonts w:ascii="A028 Extrabold;Times New Roman" w:hAnsi="A028 Extrabold;Times New Roman" w:eastAsia="David" w:cs="A028 Extrabold;Times New Roman"/>
          <w:rtl w:val="true"/>
        </w:rPr>
        <w:t>והשלימה אותן על פה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 לפגיעה בערכים המוגנים של זכות האדם להגנה על קניינו ושמירה על בטחונו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פרטיותו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ורכושו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מעבר לפגיעה בשגרת החיים ולעוגמת הנפש הנגרמים מעבירות רכוש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בעבירות של התפרצות לבית מגורים קיים סיכון להידרדרות האירוע לכדי אלימות של ממש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אשר לעבירה שענינה סיוע לגניבת 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טענה התביעה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רכבו של אדם הוא כביתו וזכאי לאותה הגנה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חברה מתוקנת לא יכולה להשלים עם מצב שבו רכוש אזרחיה הופך הפקר או מצב בו רכב שהושאר ברשות הרבים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לא יימצא כיוון שנגנב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 לפגיעה משמעותית בערכים המגונים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שעה שחבר הנאשם לאדם אחר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תוך תכנון מראש של המעשים וחלוקה לתפקידים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כאשר הנאשם התפרץ לתוך הבית בעוד האחר ממתין לו בחצר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הנאשם הוא זה שהסתובב בבית וחיפש רכוש לגנוב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הנאשם הוא זה שגנב את הטלפון הנייד ואת מפתחות הרכב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ולאחר מכן מסר אותן לאחר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אשר גנב את הרכב בסיועו של הנאשם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כאשר הנאשם יושב לצדו ברכב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הנאשם  גנב רכוש בשווי רב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הדגישה פוטנציאל הנזק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עת התפרץ הנאשם לביתו של המתלונן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בעודו ישן בביתו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וגנב את הטלפון הנייד שהיה מונח על השידה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הסמוכה למיטת המתלונן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הגם שהורשע הנאשם בסיוע לגניבת 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הרי שיש לו חלק משמעותי בשרשרת גניבת הרכב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כאשר הוא זה שהתפרץ לבית המתלונן וגנב את מפתחות הרכב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לכן הוא זה שאפשר את גניבת הרכב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וללא מעשיו של הנאשם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לא היה בידי האחר לגנוב את הרכב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הפנתה לגזר הדין בענינו של האחר וטענה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ההסדר היה כולל הסכמה עונשית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על רקע קושי ראייתי ממשי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לכן לא ניתן ללמוד ממנו לגבי העונש ההולם בענין הנאשם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עתרה למתחמי ענישה כדלקמן</w:t>
      </w:r>
      <w:r>
        <w:rPr>
          <w:rFonts w:eastAsia="David" w:cs="A028 Extrabold;Times New Roman" w:ascii="A028 Extrabold;Times New Roman" w:hAnsi="A028 Extrabold;Times New Roman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ביחס לתיק האב </w:t>
      </w:r>
      <w:r>
        <w:rPr>
          <w:rFonts w:ascii="A028 Extrabold;Times New Roman" w:hAnsi="A028 Extrabold;Times New Roman" w:eastAsia="David" w:cs="A028 Extrabold;Times New Roman"/>
          <w:rtl w:val="true"/>
        </w:rPr>
        <w:t>–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מתחם ענישה הנע בין </w:t>
      </w:r>
      <w:r>
        <w:rPr>
          <w:rFonts w:eastAsia="David" w:cs="A028 Extrabold;Times New Roman" w:ascii="A028 Extrabold;Times New Roman" w:hAnsi="A028 Extrabold;Times New Roman"/>
        </w:rPr>
        <w:t>24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ועד </w:t>
      </w:r>
      <w:r>
        <w:rPr>
          <w:rFonts w:eastAsia="David" w:cs="A028 Extrabold;Times New Roman" w:ascii="A028 Extrabold;Times New Roman" w:hAnsi="A028 Extrabold;Times New Roman"/>
        </w:rPr>
        <w:t>48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בפועל</w:t>
      </w:r>
      <w:r>
        <w:rPr>
          <w:rFonts w:eastAsia="David" w:cs="A028 Extrabold;Times New Roman" w:ascii="A028 Extrabold;Times New Roman" w:hAnsi="A028 Extrabold;Times New Roman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ביחס לתיק הצירוף </w:t>
      </w:r>
      <w:r>
        <w:rPr>
          <w:rFonts w:ascii="A028 Extrabold;Times New Roman" w:hAnsi="A028 Extrabold;Times New Roman" w:eastAsia="David" w:cs="A028 Extrabold;Times New Roman"/>
          <w:rtl w:val="true"/>
        </w:rPr>
        <w:t>–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מתחם ענישה הנע בין </w:t>
      </w:r>
      <w:r>
        <w:rPr>
          <w:rFonts w:eastAsia="David" w:cs="A028 Extrabold;Times New Roman" w:ascii="A028 Extrabold;Times New Roman" w:hAnsi="A028 Extrabold;Times New Roman"/>
        </w:rPr>
        <w:t>3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ועד </w:t>
      </w:r>
      <w:r>
        <w:rPr>
          <w:rFonts w:eastAsia="David" w:cs="A028 Extrabold;Times New Roman" w:ascii="A028 Extrabold;Times New Roman" w:hAnsi="A028 Extrabold;Times New Roman"/>
        </w:rPr>
        <w:t>12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בפועל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ביקשה לקחת בחשבון את הרשעותיו הקודמות של הנאשם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בעבירות רכוש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לרבות כלפי כלי רכב ובתים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עבירות סמים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עבירות כלפי נציגי אכיפת החוק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הפרת הוראה חוקית ועוד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ביקשה לקחת בחשבון את הרשעותיו של הנאשם בעבירות תעבורה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אשר רובן הינן בגין נהיגה ללא רישיון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מעולם לא הוציא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ונהיגה בזמן פסילה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פסילת בית משפט</w:t>
      </w:r>
      <w:r>
        <w:rPr>
          <w:rFonts w:eastAsia="David" w:cs="A028 Extrabold;Times New Roman" w:ascii="A028 Extrabold;Times New Roman" w:hAnsi="A028 Extrabold;Times New Roman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בעבירות מסוג זה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נסוגות אחור נסיבותיו האישיות של הנאשם מפני האינטרס הציבורי ויש להטיל עונש מאסר לריצוי מאחורי סורג ובריח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עתרה לגזור עונשו של הנאשם בשליש העליון של כל אחד ממתחמי הענישה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במצטבר זה לזה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עתרה להפעיל את המאסר המותנה במצטבר לעונש המאסר שיוטל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עתרה להשית על הנאשם פסילת רישיון נהיגה בפועל ועל תנאי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לאור הסיוע שלו לגניבת הרכב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עתרה להשית על הנאשם עיצומים כספיים משמעותיים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בדמות קנס ופיצוי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התביעה ביקשה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העונש שיוטל בתיק זה יהיה במצטבר לעונש מאסר אחר אותו מרצה הנאשם וכי ימי מאסרו בתיק האחר לא ינוכו מהעונש שיוטל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u w:val="single"/>
          <w:rtl w:val="true"/>
        </w:rPr>
        <w:t>ההגנה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כי הנאשם והאחר היו מכורים לסמים וכיום הנאשם </w:t>
      </w:r>
      <w:r>
        <w:rPr>
          <w:rFonts w:eastAsia="David"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eastAsia="David" w:cs="A028 Extrabold;Times New Roman"/>
          <w:rtl w:val="true"/>
        </w:rPr>
        <w:t>נקי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" </w:t>
      </w:r>
      <w:r>
        <w:rPr>
          <w:rFonts w:ascii="A028 Extrabold;Times New Roman" w:hAnsi="A028 Extrabold;Times New Roman" w:eastAsia="David" w:cs="A028 Extrabold;Times New Roman"/>
          <w:rtl w:val="true"/>
        </w:rPr>
        <w:t>מסמים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ההגנה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הנאשם היה במסגרת טיפולית סגורה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לאחר שעבר הליך שיקומי של מספר חודשים והוא נפלט מהמסגרת לאור </w:t>
      </w:r>
      <w:r>
        <w:rPr>
          <w:rFonts w:eastAsia="David"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eastAsia="David" w:cs="A028 Extrabold;Times New Roman"/>
          <w:rtl w:val="true"/>
        </w:rPr>
        <w:t>ויכוח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" </w:t>
      </w:r>
      <w:r>
        <w:rPr>
          <w:rFonts w:ascii="A028 Extrabold;Times New Roman" w:hAnsi="A028 Extrabold;Times New Roman" w:eastAsia="David" w:cs="A028 Extrabold;Times New Roman"/>
          <w:rtl w:val="true"/>
        </w:rPr>
        <w:t>בינו לבין אדם אחר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ההגנה הפנתה לגזר דינו של האחר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עליו נגזרו </w:t>
      </w:r>
      <w:r>
        <w:rPr>
          <w:rFonts w:eastAsia="David" w:cs="A028 Extrabold;Times New Roman" w:ascii="A028 Extrabold;Times New Roman" w:hAnsi="A028 Extrabold;Times New Roman"/>
        </w:rPr>
        <w:t>15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בפועל ופסילת רישיון נהיגה על תנאי בלבד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כאשר האחר הוא זה שנהג ברכב הגנוב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ההגנה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בהתאם לעיקרון אחידות הענישה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יש לגזור עונש דומה גם על הנאשם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ההגנה עתרה למתחם ענישה הנע בין </w:t>
      </w:r>
      <w:r>
        <w:rPr>
          <w:rFonts w:eastAsia="David" w:cs="A028 Extrabold;Times New Roman" w:ascii="A028 Extrabold;Times New Roman" w:hAnsi="A028 Extrabold;Times New Roman"/>
        </w:rPr>
        <w:t>8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ועד </w:t>
      </w:r>
      <w:r>
        <w:rPr>
          <w:rFonts w:eastAsia="David" w:cs="A028 Extrabold;Times New Roman" w:ascii="A028 Extrabold;Times New Roman" w:hAnsi="A028 Extrabold;Times New Roman"/>
        </w:rPr>
        <w:t>18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בפועל ולמקם עונשו בחלק האמצעי של המתחם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כך שיושתו עליו </w:t>
      </w:r>
      <w:r>
        <w:rPr>
          <w:rFonts w:eastAsia="David" w:cs="A028 Extrabold;Times New Roman" w:ascii="A028 Extrabold;Times New Roman" w:hAnsi="A028 Extrabold;Times New Roman"/>
        </w:rPr>
        <w:t>15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חודשי מאסר בפועל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>ההגנה טענה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אין מקום לקבוע מתחם ענישה נפרד לתיק הצירוף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u w:val="single"/>
          <w:rtl w:val="true"/>
        </w:rPr>
        <w:t>בדברו האחרון של הנאשם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מסר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כי הוא לא נהג ברכב והוא מבקש שלא להשית עליו פסילת רישיון נהיגה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eastAsia="David" w:cs="A028 Extrabold;Times New Roman"/>
          <w:rtl w:val="true"/>
        </w:rPr>
        <w:t>הנאשם ביקש להתחשב בו בעונש שיוטל כיוון שרוצה לסיים את מאסרו ולצאת לדרך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יש לו ילד כבן שנתיים שאינו חי איתו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שעבר הנאשם אינן קלות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לתיק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נגד הרכוש הפכו למכת מדינה של ממש ומחיר הנזקים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מתגלגל לפתחו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בפגיעה כלכלית והן בפגיעה הנפשית ובתחושת הביטחון וההגנה של האזרח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רכוש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כלל לאתר את העבריין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והקרבן נותר ללא מזור לנזק שנגרם לרכושו ולנפשו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שכאלה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בעלות פוטנציאל להסלים לאירוע אלימות ואף קיפוח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אחת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בית המשפט להרתיע היחיד והרבים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שעבירות אלו יהפכו לבלתי כדאיות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למגר התופעה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רא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10551/09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יורובסקי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</w:rPr>
        <w:t>בית משפט זה חזר והזהיר והתריע פעמים רבות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 xml:space="preserve">כי </w:t>
      </w:r>
      <w:r>
        <w:rPr>
          <w:rFonts w:ascii="Aharoni" w:hAnsi="Aharoni" w:cs="Aharoni"/>
          <w:u w:val="single"/>
          <w:rtl w:val="true"/>
        </w:rPr>
        <w:t>תינקט גישה מחמירה בענישה</w:t>
      </w:r>
      <w:r>
        <w:rPr>
          <w:rFonts w:ascii="Aharoni" w:hAnsi="Aharoni" w:cs="Aharoni"/>
          <w:rtl w:val="true"/>
        </w:rPr>
        <w:t xml:space="preserve"> על עבירות רכוש בכלל ועל עבירות ההתפרצות לבתים בפרט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גישה אשר תציב הגנה משמעותית ויעילה יותר לביטחונם של אזרחים תמימים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 xml:space="preserve">ואשר תעניק את המשקל הראוי גם </w:t>
      </w:r>
      <w:r>
        <w:rPr>
          <w:rFonts w:ascii="Aharoni" w:hAnsi="Aharoni" w:cs="Aharoni"/>
          <w:u w:val="single"/>
          <w:rtl w:val="true"/>
        </w:rPr>
        <w:t xml:space="preserve">למחיר הנפשי והצער </w:t>
      </w:r>
      <w:r>
        <w:rPr>
          <w:rFonts w:ascii="Aharoni" w:hAnsi="Aharoni" w:cs="Aharoni"/>
          <w:rtl w:val="true"/>
        </w:rPr>
        <w:t>שמוסבים להם בשל החדירה לפרטיותם</w:t>
      </w:r>
      <w:r>
        <w:rPr>
          <w:rFonts w:cs="Aharoni" w:ascii="Aharoni" w:hAnsi="Aharoni"/>
          <w:rtl w:val="true"/>
        </w:rPr>
        <w:t>. [</w:t>
      </w:r>
      <w:r>
        <w:rPr>
          <w:rFonts w:ascii="Aharoni" w:hAnsi="Aharoni" w:cs="Aharoni"/>
          <w:rtl w:val="true"/>
        </w:rPr>
        <w:t>ההדגשה אינה במקור</w:t>
      </w:r>
      <w:r>
        <w:rPr>
          <w:rFonts w:cs="Aharoni" w:ascii="Aharoni" w:hAnsi="Aharoni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טל ערג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16/03/14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נאמר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</w:rPr>
        <w:t>מיותר לציין את חומרתם היתרה של העבירות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את הפסול הרב הטמון בהם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עבירות ההתפרצות והגניבה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הפכו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למרבה הצער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לנפוצות במחוזותינו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הן פוגעות ברכושו של הציבור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מערערות קשות את תחושת ביטחונו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ומנפצות לרסיסים את התפיסה לפיה ביתו של אדם הוא מבצרו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בית משפט זה עמד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לא פעם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 כך שחומרתן של העבירות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לצד נפוצותה של התופעה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מצריכות נקיטת יד קשה עם העבריינים</w:t>
      </w:r>
      <w:r>
        <w:rPr>
          <w:rFonts w:cs="Aharoni" w:ascii="Aharoni" w:hAnsi="Aharoni"/>
          <w:u w:val="single"/>
          <w:rtl w:val="true"/>
        </w:rPr>
        <w:t>.</w:t>
      </w:r>
      <w:r>
        <w:rPr>
          <w:rFonts w:cs="Aharoni" w:ascii="Aharoni" w:hAnsi="Aharon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Aharoni"/>
          <w:b/>
          <w:bCs/>
        </w:rPr>
      </w:pPr>
      <w:r>
        <w:rPr>
          <w:rFonts w:cs="Aharon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Aharoni"/>
        </w:rPr>
      </w:pPr>
      <w:r>
        <w:rPr>
          <w:rFonts w:cs="Aharoni"/>
          <w:b/>
          <w:b/>
          <w:bCs/>
          <w:rtl w:val="true"/>
        </w:rPr>
        <w:t>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בנפשנו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תחושתו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הקשה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הייאוש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הקודר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קרבן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עבירה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משגילה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בשובו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פרצו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נגנב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כשיוצא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רכבו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שהחנה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ואיננו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מסראוה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  <w:b/>
          <w:bCs/>
        </w:rPr>
      </w:pPr>
      <w:r>
        <w:rPr>
          <w:rFonts w:cs="Aharoni"/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לפרטיותו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חפציו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צבר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בזיעת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ומיטב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כספו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הנפש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הרוגז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וחסרון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הכיס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בהם</w:t>
      </w:r>
      <w:r>
        <w:rPr>
          <w:rFonts w:cs="Aharoni"/>
          <w:b/>
          <w:bCs/>
          <w:rtl w:val="true"/>
        </w:rPr>
        <w:t xml:space="preserve">... </w:t>
      </w:r>
      <w:r>
        <w:rPr>
          <w:rFonts w:cs="Aharoni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גורל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ובפסיקה</w:t>
      </w:r>
      <w:r>
        <w:rPr>
          <w:rFonts w:cs="Aharoni"/>
          <w:b/>
          <w:bCs/>
          <w:rtl w:val="true"/>
        </w:rPr>
        <w:t xml:space="preserve">... </w:t>
      </w:r>
      <w:r>
        <w:rPr>
          <w:rFonts w:cs="Aharoni"/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מתוחכמות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אינהרנטית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להתפתחות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אלימה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לחצרים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מערערת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הציבור</w:t>
      </w:r>
      <w:r>
        <w:rPr>
          <w:rFonts w:cs="Aharoni"/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  <w:b/>
          <w:bCs/>
        </w:rPr>
      </w:pPr>
      <w:r>
        <w:rPr>
          <w:rFonts w:eastAsia="David" w:cs="A028 Extrabold;Times New Roman" w:ascii="A028 Extrabold;Times New Roman" w:hAnsi="A028 Extrabold;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בשנים האחרונות התקבעה תחושה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עבירות נגד הרכוש הן קלות 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תשמשנה כעילה למעצר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הענישה בגינן – לא תהיה מרתיעה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בהתפרצות לבית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כאשר נפגע העבירה נוכח בביתו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ישן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בפרשת משפטים קובעת התורה את דינו של הגנב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שמות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א</w:t>
      </w:r>
      <w:r>
        <w:rPr>
          <w:rFonts w:cs="David" w:ascii="David" w:hAnsi="David"/>
          <w:rtl w:val="true"/>
        </w:rPr>
        <w:t xml:space="preserve">' -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'):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אִם בַּמַּחְתֶּרֶת יִמָּצֵא הַגַּנָּב וְהֻכָּה וָמֵת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אֵין לוֹ דָּמִים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אִם זָרְחָה הַשֶּׁמֶשׁ עָלָיו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דָּמִים לוֹ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שַׁלֵּם יְשַׁלֵּם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אִם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אֵין לוֹ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וְנִמְכַּר בִּגְנֵבָתוֹ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פרשן התורה רבי שלמה יצחקי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1040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1135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מבאר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Aharoni" w:hAnsi="Aharoni" w:cs="Aharoni"/>
          <w:rtl w:val="true"/>
        </w:rPr>
        <w:t>אִם בַּמַּחְתֶּרֶת – כְּשֶׁהָיָה חוֹתֵר אֶת הַבַּיִת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אֵין לוֹ דָּמִים – אֵין זוֹ רְצִיחָה</w:t>
      </w:r>
      <w:r>
        <w:rPr>
          <w:rFonts w:cs="Aharoni" w:ascii="Aharoni" w:hAnsi="Aharoni"/>
          <w:rtl w:val="true"/>
        </w:rPr>
        <w:t xml:space="preserve">; </w:t>
      </w:r>
      <w:r>
        <w:rPr>
          <w:rFonts w:ascii="Aharoni" w:hAnsi="Aharoni" w:cs="Aharoni"/>
          <w:rtl w:val="true"/>
        </w:rPr>
        <w:t>הֲרֵי הוּא כְּמֵת מֵעִקָּרוֹ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כָּאן לִמְּדַתְךָ תּוֹרָה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אִם בָּא לְהָרְגְּךָ – הַשְׁכֵּם לְהָרְגוֹ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וְזֶה לְהָרְגְּךָ בָּא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שֶׁהֲרֵי יוֹדֵעַ הוּא שֶׁאֵין אָדָם מַעֲמִיד עַצְמוֹ וְרוֹאֶה שֶׁנּוֹטְלִין מָמוֹנוֹ בְּפָנָיו וְשׁוֹתֵק</w:t>
      </w:r>
      <w:r>
        <w:rPr>
          <w:rFonts w:cs="Aharoni" w:ascii="Aharoni" w:hAnsi="Aharoni"/>
          <w:u w:val="single"/>
          <w:rtl w:val="true"/>
        </w:rPr>
        <w:t xml:space="preserve">; </w:t>
      </w:r>
      <w:r>
        <w:rPr>
          <w:rFonts w:ascii="Aharoni" w:hAnsi="Aharoni" w:cs="Aharoni"/>
          <w:u w:val="single"/>
          <w:rtl w:val="true"/>
        </w:rPr>
        <w:t>לְפִיכָךְ עַל מְנָת כֵּן בָּא</w:t>
      </w:r>
      <w:r>
        <w:rPr>
          <w:rFonts w:cs="Aharoni" w:ascii="Aharoni" w:hAnsi="Aharoni"/>
          <w:u w:val="single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שֶׁאִם יַעֲמֹד בַּעַל הַמָּמוֹן כְּנֶגְדּוֹ – יַהַרְגֶנּוּ</w:t>
      </w:r>
      <w:r>
        <w:rPr>
          <w:rFonts w:ascii="Aharoni" w:hAnsi="Aharoni" w:cs="Aharoni"/>
          <w:rtl w:val="true"/>
        </w:rPr>
        <w:t xml:space="preserve"> </w:t>
      </w:r>
      <w:r>
        <w:rPr>
          <w:rFonts w:cs="Aharoni" w:ascii="Aharoni" w:hAnsi="Aharoni"/>
          <w:rtl w:val="true"/>
        </w:rPr>
        <w:t>(</w:t>
      </w:r>
      <w:r>
        <w:rPr>
          <w:rFonts w:ascii="Aharoni" w:hAnsi="Aharoni" w:cs="Aharoni"/>
          <w:rtl w:val="true"/>
        </w:rPr>
        <w:t>סנהדרין ע</w:t>
      </w: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ב ע</w:t>
      </w: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א</w:t>
      </w:r>
      <w:r>
        <w:rPr>
          <w:rFonts w:cs="Aharoni" w:ascii="Aharoni" w:hAnsi="Aharoni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אִם זָרְחָה הַשֶּׁמֶשׁ עָלָיו – אֵין זֶה אֶלָּא כְּמִין מָשָׁל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אִם בָּרוּר לְךָ הַדָּבָר שֶׁיֵּשׁ לוֹ שָׁלוֹם עִמְּךָ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כַּשֶּׁמֶשׁ הַזֶּה שֶׁהוּא שָׁלוֹם בָּעוֹלָם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כָּךְ פָּשׁוּט לְךָ שֶׁאֵינוֹ בָּא לַהֲרֹג אֲפִלּוּ יַעֲמֹד בַּעַל הַמָּמוֹן כְּנֶגְדּוֹ</w:t>
      </w:r>
      <w:r>
        <w:rPr>
          <w:rFonts w:cs="Aharoni" w:ascii="Aharoni" w:hAnsi="Aharoni"/>
          <w:rtl w:val="true"/>
        </w:rPr>
        <w:t xml:space="preserve">; </w:t>
      </w:r>
      <w:r>
        <w:rPr>
          <w:rFonts w:ascii="Aharoni" w:hAnsi="Aharoni" w:cs="Aharoni"/>
          <w:rtl w:val="true"/>
        </w:rPr>
        <w:t>כְּגוֹן אָב הַחוֹתֵר לִגְנֹב מָמוֹן הַבֵּן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 xml:space="preserve">בְּיָדוּעַ שֶׁרַחֲמֵי הָאָב עַל הַבֵּן וְאֵינוֹ בָּא עַל עִסְקֵי נְפָשׁוֹת </w:t>
      </w:r>
      <w:r>
        <w:rPr>
          <w:rFonts w:cs="Aharoni" w:ascii="Aharoni" w:hAnsi="Aharoni"/>
          <w:rtl w:val="true"/>
        </w:rPr>
        <w:t>(</w:t>
      </w:r>
      <w:r>
        <w:rPr>
          <w:rFonts w:ascii="Aharoni" w:hAnsi="Aharoni" w:cs="Aharoni"/>
          <w:rtl w:val="true"/>
        </w:rPr>
        <w:t>סנהדרין ע</w:t>
      </w: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ב ע</w:t>
      </w: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א</w:t>
      </w:r>
      <w:r>
        <w:rPr>
          <w:rFonts w:cs="Aharoni" w:ascii="Aharoni" w:hAnsi="Aharoni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דָּמִים לוֹ – כְּחַי הוּא חָשׁוּב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וּרְצִיחָה הִיא אִם יַהַרְגֶנּוּ בַּעַל הַבַּיִת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שַׁלֵּם יְשַׁלֵּם – הַגַּנָּב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מָמוֹן שֶׁגָּנַב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וְאֵינוֹ חַיָּב מִיתָה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  <w:t>[</w:t>
      </w:r>
      <w:r>
        <w:rPr>
          <w:rFonts w:ascii="Aharoni" w:hAnsi="Aharoni" w:cs="Aharoni"/>
          <w:rtl w:val="true"/>
        </w:rPr>
        <w:t>ההדגשה אינה במקור</w:t>
      </w:r>
      <w:r>
        <w:rPr>
          <w:rFonts w:cs="Aharoni" w:ascii="Aharoni" w:hAnsi="Aharoni"/>
          <w:rtl w:val="true"/>
        </w:rPr>
        <w:t>]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ואילו נכדו ותלמידו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רבי שמואל בן מאיר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1080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1160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מוסיף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אם במחתרת</w:t>
      </w:r>
      <w:r>
        <w:rPr>
          <w:rFonts w:cs="Aharoni" w:ascii="Aharoni" w:hAnsi="Aharoni"/>
          <w:rtl w:val="true"/>
        </w:rPr>
        <w:t xml:space="preserve">" – </w:t>
      </w:r>
      <w:r>
        <w:rPr>
          <w:rFonts w:ascii="Aharoni" w:hAnsi="Aharoni" w:cs="Aharoni"/>
          <w:rtl w:val="true"/>
        </w:rPr>
        <w:t>ובלילה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או להרוג או ליהרג בא</w:t>
      </w:r>
      <w:r>
        <w:rPr>
          <w:rFonts w:cs="Aharoni" w:ascii="Aharoni" w:hAnsi="Aharoni"/>
          <w:rtl w:val="true"/>
        </w:rPr>
        <w:t xml:space="preserve">... 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אם זרחה השמש</w:t>
      </w:r>
      <w:r>
        <w:rPr>
          <w:rFonts w:cs="Aharoni" w:ascii="Aharoni" w:hAnsi="Aharoni"/>
          <w:rtl w:val="true"/>
        </w:rPr>
        <w:t xml:space="preserve">" - </w:t>
      </w:r>
      <w:r>
        <w:rPr>
          <w:rFonts w:ascii="Aharoni" w:hAnsi="Aharoni" w:cs="Aharoni"/>
          <w:rtl w:val="true"/>
        </w:rPr>
        <w:t>שהיה גונב ביום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  <w:t>[</w:t>
      </w:r>
      <w:r>
        <w:rPr>
          <w:rFonts w:ascii="Aharoni" w:hAnsi="Aharoni" w:cs="Aharoni"/>
          <w:rtl w:val="true"/>
        </w:rPr>
        <w:t>ההדגשה אינה במקור</w:t>
      </w:r>
      <w:r>
        <w:rPr>
          <w:rFonts w:cs="Aharoni" w:ascii="Aharoni" w:hAnsi="Aharoni"/>
          <w:rtl w:val="true"/>
        </w:rPr>
        <w:t>]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התורה מבחינה בין גנב הבא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במחתרת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כשהא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חותר את הבית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כלומר מתפרץ באין רואים – שאז דינו מוות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בעל הבית רשאי להרגו 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כשלא יהיה חשוף לנקמה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גנב שעליו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זורחת השמש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כלומר – הוא אינו מסכן את חייהם של בני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ואז מסתפקת התורה בחיובו בפיצוי הכפול מערך הרכוש בו שלח את ידו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ובמקרים מסוימים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 ארבעה או פי חמישה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מעל שלושת אלפים שנה חלפו מאז מתן תורה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קרוב לאלף שנה חלפו מאז כתבו 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ורשב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 את פירושיהם לתורה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טבע האדם לא השתנה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אדם מול הפורץ במטרה להגן על רכושו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ובמקרה כזה – קיים פוטנציאל ממשי לפגיעה בנפש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פוטנציאל זה מחייב נקיטת ענישה קשה ומרתיעה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הסתובב בביתו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גנב את מכשיר הטלפון הנייד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בשידה הסמוכה למיטתו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גנב את מפתחות הרכב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והעבירם לידי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שיוכל לגנוב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הסיוע של הנאשם היה ברף מעורבות גבוה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שהרי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אלמלא הנאשם גנב את המפתחות ומסרם לאותו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בידי האחר לגנוב את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הנזק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נגרם היה ממוני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פוטנציאל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אילו התעורר נפגע העבירה ותפס את הנאשם בעת 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יכול להגיע עד כדי פגיעות גופניות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</w:t>
      </w:r>
      <w:r>
        <w:rPr>
          <w:rFonts w:ascii="David" w:hAnsi="David"/>
          <w:rtl w:val="true"/>
        </w:rPr>
        <w:t>הגיע בצוותא עם מעורב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והמתלונן היה עלול למצוא עצמו במיעוט כוחות נגד השניים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מעבר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גם פן משמעותי של פגיעה בתחושת </w:t>
      </w:r>
      <w:r>
        <w:rPr>
          <w:rFonts w:ascii="David" w:hAnsi="David"/>
          <w:rtl w:val="true"/>
        </w:rPr>
        <w:t>הביטחו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של האזרח שומר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ופן זה מחייב גם הוא התייחסות במסגרת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מחויב ליתן מענה להעדר תחושת הביטחון בציבור ולנקוט ביד קשה עם עבריינים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גזירת עונשים מרתיעים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שיהיה בהם כדי להרתיע את הנאשם עצמו וגם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מלחדור לביתם – מבצרם של אחרים ולהתעשר על חשבון זיעת אפם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הרכב הושב לבעליו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בה כדי להביא להקלה עם הנאשם 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לא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היה יד ורגל בסיוע לאיתור הרכב ולהשבתו לבעליו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Arial"/>
        </w:rPr>
      </w:pP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27076-08-15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ראובן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– המערער הורשע בעבירה של התפרצות לדירת מגורים וגניבת צמיד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ענישה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וגזר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הפעלת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על חומרת העונש נדחה ובית המשפט המחוזי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הענישה הינו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סביר ומקובל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Arial"/>
        </w:rPr>
      </w:pP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47219-08-21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בודובסקי</w:t>
      </w:r>
      <w:r>
        <w:rPr>
          <w:rFonts w:ascii="Arial" w:hAnsi="Arial" w:cs="Arial"/>
          <w:rtl w:val="true"/>
        </w:rPr>
        <w:t xml:space="preserve"> – נגד הנאשם הוגשו שני כתבי אישום אשר צורפו להליך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תיק הצירוף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עניינו כניסה לבית מגורים בכוונה לבצע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נכנס דרך חלון פתוח לבית </w:t>
      </w:r>
      <w:r>
        <w:rPr>
          <w:rFonts w:ascii="Arial" w:hAnsi="Arial" w:cs="Arial"/>
          <w:u w:val="single"/>
          <w:rtl w:val="true"/>
        </w:rPr>
        <w:t>שאינו מאוכלס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מותב זה קבע מתחם ענישה 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Arial"/>
        </w:rPr>
      </w:pP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40447-02-21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ascii="Arial" w:hAnsi="Arial" w:cs="Arial"/>
          <w:rtl w:val="true"/>
        </w:rPr>
        <w:t xml:space="preserve"> – הנאשם נכנס לבית קרקע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הדלת אשר היתה פתוחה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ונטל סך בן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מתוך קופת צדקה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מותב זה קבע מתחם ענישה 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Arial"/>
        </w:rPr>
      </w:pP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7000-09-21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פשייב</w:t>
      </w:r>
      <w:r>
        <w:rPr>
          <w:rFonts w:ascii="Arial" w:hAnsi="Arial" w:cs="Arial"/>
          <w:rtl w:val="true"/>
        </w:rPr>
        <w:t xml:space="preserve"> – הנאשם הורשע בעבירה של 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התפרצות ועבירת גניבה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לביתו של המתלונן דרך הדלת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היתה נעולה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וגנב שני מכשירי טלפון נייד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גנב ממחסן הבית כלי עבודה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יצא מהבית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גנב אופניים חשמליים השייכים לשכן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הרכוש הגנוב – הוחזר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מותב זה קבע מתחם ענישה הנע 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Arial"/>
        </w:rPr>
      </w:pP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32761-11-20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אברז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הורשע בעבירה של כניסה לבית מגורים לבצע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סולם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טיפס לחלון הבית ונכנס פנימה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חפץ כלשהו שאינו ידוע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מותב זה קבע מתחם ענישה הנע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צירף גם תיק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בגינו נקבע מתחם ענישה נפרד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5019-01-22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סלם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התפרצו לבית מגורים בכך שפתחו את דלת ההזזה של הגינה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היתה סגורה אך לא נעולה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וגנבו ממנו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 ותכשיטים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מותב זה קבע מתחם ענישה הנע 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eastAsia="David"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אשר לתיק הצירוף </w:t>
      </w:r>
      <w:r>
        <w:rPr>
          <w:rFonts w:ascii="Arial" w:hAnsi="Arial" w:cs="Arial"/>
          <w:rtl w:val="true"/>
        </w:rPr>
        <w:t xml:space="preserve">הרי אף </w:t>
      </w:r>
      <w:r>
        <w:rPr>
          <w:rFonts w:ascii="Arial" w:hAnsi="Arial" w:cs="Arial"/>
          <w:rtl w:val="true"/>
        </w:rPr>
        <w:t>לעבירת 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לקטילת 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1964/14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שימשילשווילי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haroni" w:hAnsi="Aharoni" w:cs="Aharoni"/>
          <w:spacing w:val="10"/>
          <w:sz w:val="20"/>
        </w:rPr>
      </w:pPr>
      <w:r>
        <w:rPr>
          <w:rFonts w:ascii="Aharoni" w:hAnsi="Aharoni" w:cs="Aharoni"/>
          <w:spacing w:val="10"/>
          <w:sz w:val="20"/>
          <w:sz w:val="20"/>
          <w:rtl w:val="true"/>
        </w:rPr>
        <w:t>נטילת סכין היא פעולה שתחילתה ברורה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אך בהמשך מובילה לאירועים שקשה לחזות ואינם נושאים טובה לאף אחד מן המעורבים באירוע</w:t>
      </w:r>
      <w:r>
        <w:rPr>
          <w:rFonts w:cs="Aharoni" w:ascii="Aharoni" w:hAnsi="Aharoni"/>
          <w:spacing w:val="10"/>
          <w:sz w:val="20"/>
          <w:rtl w:val="true"/>
        </w:rPr>
        <w:t xml:space="preserve">. </w:t>
      </w:r>
      <w:r>
        <w:rPr>
          <w:rFonts w:ascii="Aharoni" w:hAnsi="Aharoni" w:cs="Aharoni"/>
          <w:spacing w:val="10"/>
          <w:sz w:val="20"/>
          <w:sz w:val="20"/>
          <w:rtl w:val="true"/>
        </w:rPr>
        <w:t>החברה בישראל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ובית המשפט בכלל זה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אינה יכולה להשלים עם תופעות אלה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ומצווה לעוקרן מן השורש</w:t>
      </w:r>
      <w:r>
        <w:rPr>
          <w:rFonts w:cs="Aharoni" w:ascii="Aharoni" w:hAnsi="Aharoni"/>
          <w:spacing w:val="10"/>
          <w:sz w:val="20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028 Extrabold;Times New Roman" w:hAnsi="A028 Extrabold;Times New Roman" w:eastAsia="David" w:cs="A028 Extrabold;Times New Roman"/>
          <w:spacing w:val="10"/>
          <w:sz w:val="20"/>
        </w:rPr>
      </w:pPr>
      <w:r>
        <w:rPr>
          <w:rFonts w:eastAsia="David" w:cs="A028 Extrabold;Times New Roman" w:ascii="A028 Extrabold;Times New Roman" w:hAnsi="A028 Extrabold;Times New Roman"/>
          <w:spacing w:val="10"/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בטרם ייקבע מתחם הענישה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לבחון האם </w:t>
      </w:r>
      <w:r>
        <w:rPr>
          <w:rFonts w:ascii="Arial" w:hAnsi="Arial" w:cs="Arial"/>
          <w:rtl w:val="true"/>
        </w:rPr>
        <w:t>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בתיק האב ובתיק הצירוף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עולים לכדי אירוע אחד בגינו יש לקבוע מתחם עונש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מדובר באירועים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המצדיקים קביעת מתחם ענישה נפרד לכל 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לבחון את הקשר ההדוק בין העבירות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ולבחון האם הן עולות לכדי מסכת עבריינית אחת </w:t>
      </w:r>
      <w:r>
        <w:rPr>
          <w:rFonts w:cs="Arial" w:ascii="Arial" w:hAnsi="Arial"/>
          <w:rtl w:val="true"/>
        </w:rPr>
        <w:t>(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אין לקבל טענת </w:t>
      </w:r>
      <w:r>
        <w:rPr>
          <w:rFonts w:ascii="Arial" w:hAnsi="Arial" w:cs="Arial"/>
          <w:rtl w:val="true"/>
        </w:rPr>
        <w:t>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העבירה של החזקת סכין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נבלעת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בעבירות שבתיק האב ויש להכלילה כחלק ממתחם ענישה 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העבירה שבתיק הצירוף נעברה יותר משנה טרם אירועי תיק האב וקשה למצוא קשר בין האירועים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קובע בית המשפט מתחמי ענישה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תיק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יועמד מתחם הענישה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תיק הצירוף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יועמד מתחם הענישה בין שלושה חודשים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קביעת הענישה הספציפית בתוך מתחמי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הרשעות רבות בעבירות רכוש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ועבירות נגד גורמי אכיפת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הרשעות מרובות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חוזרות ונשנות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ענינן נהיגה ללא רישיון נהיגה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מעולם לא הוציא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נהיגה בזמן פסילה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פסילת בית משפט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חרף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הספיק הנאשם לרצות מספר עונשי מאסר שאינם קצרים והוטלו עליו פסילות של רישיון הנהיגה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פעם אחר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אלה לא היה בהם כדי להציב לו גבול מרתיע או להביאו לשנות את דפוסיו העברייניים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עבר את העבירות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שתלוי ועומד נגדו מאסר מותנה בר הפעלה מגזר הדין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גם בו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היה כדי להרתיעו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המציאות מוכיחה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אינו נרתע מדבר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הדרך היחידה שנותרה היא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הרחקתו מהחברה לתקופה משמעותית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הושתה יד במסגרת הליך המעצר והוא שולב בקהילה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גם 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נמנע מלתפוס ביד המושטת ולאחר שהפר את המשמעת במקום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לטענת ההגנה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בעימות שהתפתח על רקע אידיאולוגי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הופסקה השתתפותו בהליך הטיפולי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הסתבכויותיו הקודמות והמרובות של הנאשם מטות את הכף לכיוון ענישה בחלק הגבוה של מתחם הענישה בנוגע לתיק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ובחלק הבינוני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גבוה של המתחם בנוגע לתיק הצירוף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הודאת הנאשם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תינתן לו הקלה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תיערך חפיפה מסוימת בין העונשים בגין כל אחד מהתיקים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ובנוסף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יופעל המאסר המותנה מגזר הדין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שחלקו ירוצה בחופף לעונש שהוטל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עונשים צופים פני עתיד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הנאשם יושתו עונשים צופים פני 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מאסרים מותנים והן התחייבות להימנע מעבירה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לאור ההרשעה בתיק הצירוף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 גם מאסר מותנה 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חם או 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עיצומים כספיים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המניע הכלכלי הנעוץ בעבירות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 עיצום כספי מסוג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התעוזה של הנאשם להיכנס לביתו של 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ולגנוב ממנו את מכשיר הטלפון הנייד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מפתחות הרכב שלו ואף לסייע לאחר לגנוב את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 פיצוי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יהיה בו כדי להכיר בנזקים הממוניים ושאינם ממוניים אשר גרם הנאשם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נזקים אלה עומדים בעינם גם 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כשבועיים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הושב הרכב לבעליו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פסילת רישיון נהיגה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לרכיב פסילת רישיון הנהיגה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שנעברה עבירה של גניבת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מקום להורות על רכיב ענישה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עיקרון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משלא עתרה התביעה להשתת פסילת רישיון הנהיגה בפועל בענינו של המעורב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נהג ברכב הגנוב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יורה בית המשפט על רכיב הפסילה בפועל בענינו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ויסתפק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 הפעם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בפסילת רישיון הנהיגה על תנאי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הרשעת הנאשם בעבירת סיוע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תהיה הפסילה על תנאי לתקופה קצרה מזו שהוטלה על המעורב הנוסף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ששמע טענות הצדדים על פה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בטיעוני התביעה בכתב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בראיות לעונש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בפסיקה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שמע דברו האחרון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גוזר על הנאשם 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תיק האב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תיק הצירוף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חודשיים מתוכם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בחופף והיתרה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במצטבר לעונש שהוטל בסעיף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הפעל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על תנאי מגזר הדין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שחציו בחופף לעונשים שהוטלו לעיל והיתרה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במצטבר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סך הכל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ירצה הנאשם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בניכוי ימי מעצרו בכל אחד מהתיקים שבכותרת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למען הסר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לא</w:t>
      </w:r>
      <w:r>
        <w:rPr>
          <w:rFonts w:ascii="Arial" w:hAnsi="Arial" w:cs="Arial"/>
          <w:rtl w:val="true"/>
        </w:rPr>
        <w:t xml:space="preserve"> ינוכו ימים בהם היה עציר או אסיר בגין תיקים אחרים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hyperlink r:id="rId39">
        <w:r>
          <w:rPr>
            <w:rStyle w:val="Hyperlink"/>
            <w:rFonts w:ascii="Calibri" w:hAnsi="Calibri" w:cs="Calibri"/>
            <w:rtl w:val="true"/>
          </w:rPr>
          <w:t>פרק</w:t>
        </w:r>
        <w:r>
          <w:rPr>
            <w:rStyle w:val="Hyperlink"/>
            <w:rFonts w:ascii="Calibri" w:hAnsi="Calibri" w:cs="Calibri"/>
            <w:rtl w:val="true"/>
          </w:rPr>
          <w:t xml:space="preserve"> י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א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hyperlink r:id="rId41">
        <w:r>
          <w:rPr>
            <w:rStyle w:val="Hyperlink"/>
            <w:rFonts w:ascii="Calibri" w:hAnsi="Calibri" w:cs="Calibri"/>
            <w:rtl w:val="true"/>
          </w:rPr>
          <w:t>פרק</w:t>
        </w:r>
        <w:r>
          <w:rPr>
            <w:rStyle w:val="Hyperlink"/>
            <w:rFonts w:ascii="Calibri" w:hAnsi="Calibri" w:cs="Calibri"/>
            <w:rtl w:val="true"/>
          </w:rPr>
          <w:t xml:space="preserve"> י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א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סעיים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186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15.08.24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Fonts w:ascii="Arial" w:hAnsi="Arial" w:cs="Arial"/>
          <w:rtl w:val="true"/>
        </w:rPr>
        <w:t xml:space="preserve">הנאשם יצהיר על התחייבות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להימנע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שלוש שנים מיום שחרורו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עבירה המפעילה את אחד המאסרים המותנים שהושתו על הנאשם בגזר דין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יצהיר הנאשם כאמור – ייאסר למשך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028 Extrabold">
    <w:altName w:val="Times New Roman"/>
    <w:charset w:val="00" w:characterSet="windows-1252"/>
    <w:family w:val="auto"/>
    <w:pitch w:val="variable"/>
  </w:font>
  <w:font w:name="Aharoni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43471-12-22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עזאדין בן מחמד אבו סבילה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502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David" w:hAnsi="David"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234023" TargetMode="External"/><Relationship Id="rId3" Type="http://schemas.openxmlformats.org/officeDocument/2006/relationships/hyperlink" Target="http://www.nevo.co.il/case/2881930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/413b" TargetMode="External"/><Relationship Id="rId11" Type="http://schemas.openxmlformats.org/officeDocument/2006/relationships/hyperlink" Target="http://www.nevo.co.il/law/70301/j%5C" TargetMode="External"/><Relationship Id="rId12" Type="http://schemas.openxmlformats.org/officeDocument/2006/relationships/hyperlink" Target="http://www.nevo.co.il/law/70301/j%5C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/29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/29.a" TargetMode="External"/><Relationship Id="rId19" Type="http://schemas.openxmlformats.org/officeDocument/2006/relationships/hyperlink" Target="http://www.nevo.co.il/law/70301/413b" TargetMode="External"/><Relationship Id="rId20" Type="http://schemas.openxmlformats.org/officeDocument/2006/relationships/hyperlink" Target="http://www.nevo.co.il/law/70301/29.a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70301/186.a" TargetMode="External"/><Relationship Id="rId23" Type="http://schemas.openxmlformats.org/officeDocument/2006/relationships/hyperlink" Target="http://www.nevo.co.il/case/21648802" TargetMode="External"/><Relationship Id="rId24" Type="http://schemas.openxmlformats.org/officeDocument/2006/relationships/hyperlink" Target="http://www.nevo.co.il/law/70301/j%5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9244825" TargetMode="External"/><Relationship Id="rId27" Type="http://schemas.openxmlformats.org/officeDocument/2006/relationships/hyperlink" Target="http://www.nevo.co.il/case/6036574" TargetMode="External"/><Relationship Id="rId28" Type="http://schemas.openxmlformats.org/officeDocument/2006/relationships/hyperlink" Target="http://www.nevo.co.il/case/11206360" TargetMode="External"/><Relationship Id="rId29" Type="http://schemas.openxmlformats.org/officeDocument/2006/relationships/hyperlink" Target="http://www.nevo.co.il/case/5896583" TargetMode="External"/><Relationship Id="rId30" Type="http://schemas.openxmlformats.org/officeDocument/2006/relationships/hyperlink" Target="http://www.nevo.co.il/case/5673356" TargetMode="External"/><Relationship Id="rId31" Type="http://schemas.openxmlformats.org/officeDocument/2006/relationships/hyperlink" Target="http://www.nevo.co.il/case/20507793" TargetMode="External"/><Relationship Id="rId32" Type="http://schemas.openxmlformats.org/officeDocument/2006/relationships/hyperlink" Target="http://www.nevo.co.il/case/27880610" TargetMode="External"/><Relationship Id="rId33" Type="http://schemas.openxmlformats.org/officeDocument/2006/relationships/hyperlink" Target="http://www.nevo.co.il/case/27413119" TargetMode="External"/><Relationship Id="rId34" Type="http://schemas.openxmlformats.org/officeDocument/2006/relationships/hyperlink" Target="http://www.nevo.co.il/case/27914755" TargetMode="External"/><Relationship Id="rId35" Type="http://schemas.openxmlformats.org/officeDocument/2006/relationships/hyperlink" Target="http://www.nevo.co.il/case/27154236" TargetMode="External"/><Relationship Id="rId36" Type="http://schemas.openxmlformats.org/officeDocument/2006/relationships/hyperlink" Target="http://www.nevo.co.il/case/17030490" TargetMode="External"/><Relationship Id="rId37" Type="http://schemas.openxmlformats.org/officeDocument/2006/relationships/hyperlink" Target="http://www.nevo.co.il/case/1309372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j%5C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j%5C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5227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2024-07-21T06:35:00Z</dcterms:created>
  <dc:creator> </dc:creator>
  <dc:description/>
  <cp:keywords/>
  <dc:language>en-IL</dc:language>
  <cp:lastModifiedBy>h1</cp:lastModifiedBy>
  <dcterms:modified xsi:type="dcterms:W3CDTF">2024-07-21T06:35:00Z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עזאדין בן מחמד אבו סבילה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ProcID=209&amp;PartA=5019&amp;PartB=01&amp;PartC=22</vt:lpwstr>
  </property>
  <property fmtid="{D5CDD505-2E9C-101B-9397-08002B2CF9AE}" pid="9" name="CASESLISTTMP1">
    <vt:lpwstr>29234023;28819306;21648802;29244825;6036574;11206360;5896583;5673356;20507793;27880610;27413119;27914755;27154236;17030490;13093721</vt:lpwstr>
  </property>
  <property fmtid="{D5CDD505-2E9C-101B-9397-08002B2CF9AE}" pid="10" name="CITY">
    <vt:lpwstr>ב"ש</vt:lpwstr>
  </property>
  <property fmtid="{D5CDD505-2E9C-101B-9397-08002B2CF9AE}" pid="11" name="DATE">
    <vt:lpwstr>20240716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סולקין</vt:lpwstr>
  </property>
  <property fmtid="{D5CDD505-2E9C-101B-9397-08002B2CF9AE}" pid="15" name="LAWLISTTMP1">
    <vt:lpwstr>70301/406.b;029.a:3;384;413b;031;186.a;j"aCeS;j"aC:2</vt:lpwstr>
  </property>
  <property fmtid="{D5CDD505-2E9C-101B-9397-08002B2CF9AE}" pid="16" name="LAWLISTTMP2">
    <vt:lpwstr>5227</vt:lpwstr>
  </property>
  <property fmtid="{D5CDD505-2E9C-101B-9397-08002B2CF9AE}" pid="17" name="LAWYER">
    <vt:lpwstr>גנית אטיאס;עדי יזרעאלי;מוסטפא נסאר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43471;1771</vt:lpwstr>
  </property>
  <property fmtid="{D5CDD505-2E9C-101B-9397-08002B2CF9AE}" pid="24" name="NEWPARTB">
    <vt:lpwstr>12;08</vt:lpwstr>
  </property>
  <property fmtid="{D5CDD505-2E9C-101B-9397-08002B2CF9AE}" pid="25" name="NEWPARTC">
    <vt:lpwstr>22;22</vt:lpwstr>
  </property>
  <property fmtid="{D5CDD505-2E9C-101B-9397-08002B2CF9AE}" pid="26" name="NEWPROC">
    <vt:lpwstr>תפ;תפ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380020240716</vt:lpwstr>
  </property>
  <property fmtid="{D5CDD505-2E9C-101B-9397-08002B2CF9AE}" pid="36" name="TYPE_N_DATE">
    <vt:lpwstr>38020240716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