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89"/>
        <w:gridCol w:w="3689"/>
        <w:gridCol w:w="41"/>
      </w:tblGrid>
      <w:tr>
        <w:trPr>
          <w:trHeight w:val="418" w:hRule="exact"/>
        </w:trPr>
        <w:tc>
          <w:tcPr>
            <w:tcW w:w="8861" w:type="dxa"/>
            <w:gridSpan w:val="5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43581-03-22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דיאנה סלע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38"/>
                <w:szCs w:val="38"/>
              </w:rPr>
            </w:pPr>
            <w:r>
              <w:rPr>
                <w:rFonts w:cs="David" w:ascii="David" w:hAnsi="David"/>
                <w:sz w:val="38"/>
                <w:szCs w:val="38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38"/>
                <w:szCs w:val="38"/>
              </w:rPr>
            </w:pPr>
            <w:r>
              <w:rPr>
                <w:rFonts w:cs="David" w:ascii="David" w:hAnsi="David"/>
                <w:sz w:val="38"/>
                <w:szCs w:val="3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4678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פאדי נג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מי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6" w:name="PsakDin"/>
      <w:bookmarkEnd w:id="6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הנאשם הורשע על פי הודייתו בכתב אישום שתוקן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כדלהלן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bookmarkStart w:id="10" w:name="ABSTRACT_END"/>
      <w:bookmarkEnd w:id="10"/>
      <w:r>
        <w:rPr>
          <w:b/>
          <w:bCs/>
        </w:rPr>
        <w:t>2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המפורטות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u w:val="single"/>
          <w:rtl w:val="true"/>
        </w:rPr>
        <w:t xml:space="preserve">;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5/11/21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בשעות הערב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התקיים אירוע לכבוד אירוסי בתו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גרושתו של הנאשם בג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דידה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מכר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האירוע והבית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בהתאמה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במהלך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שהה בחצר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אנשים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בשעה שאינה ידועה במדויק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החזיק אקדח טעון במחסנית וכדורים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האקדח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ללא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וירה מספר יריות באמצעות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מפנה את קנה האקדח כלפי מעלה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האקדח הינו כלי נשק שסוגל לירות כדור או קליע ושבכוחו להמית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המחסנית הינה אביזר לנשק והכדורים הינם 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המתוארים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אביזר לנשק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רשות על פי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ירה מנשק חם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באזור מגורים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הסדר הטיעון</w:t>
      </w:r>
      <w:r>
        <w:rPr>
          <w:rFonts w:ascii="Arial" w:hAnsi="Arial" w:cs="Arial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הצדדים הגיעו להסכמה גם לעניין הענישה המבוקשת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ועתרו להטיל על הנאשם מאסר בפועל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על תנאי לפי שיקול דעתו של בית המשפט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01</w:t>
      </w:r>
      <w:r>
        <w:rPr>
          <w:rtl w:val="true"/>
        </w:rPr>
        <w:t xml:space="preserve">',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',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ההיתר</w:t>
      </w:r>
      <w:r>
        <w:rPr>
          <w:rtl w:val="true"/>
        </w:rPr>
        <w:t xml:space="preserve">),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03</w:t>
      </w:r>
      <w:r>
        <w:rPr>
          <w:rtl w:val="true"/>
        </w:rPr>
        <w:t>'-</w:t>
      </w:r>
      <w:r>
        <w:rPr/>
        <w:t>10</w:t>
      </w:r>
      <w:r>
        <w:rPr>
          <w:rtl w:val="true"/>
        </w:rPr>
        <w:t xml:space="preserve">',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'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'.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</w:rPr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tl w:val="true"/>
        </w:rPr>
        <w:t xml:space="preserve">;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tl w:val="true"/>
        </w:rPr>
        <w:t xml:space="preserve">, </w:t>
      </w:r>
      <w:r>
        <w:rPr>
          <w:rtl w:val="true"/>
        </w:rPr>
        <w:t>וקיומן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5-19</w:t>
      </w:r>
      <w:r>
        <w:rPr>
          <w:rtl w:val="true"/>
        </w:rPr>
        <w:t xml:space="preserve">, </w:t>
      </w:r>
      <w:r>
        <w:rPr>
          <w:rtl w:val="true"/>
        </w:rPr>
        <w:t>העצור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23/2/22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מרביתן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והבנייה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המקדמי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tl w:val="true"/>
        </w:rPr>
        <w:t xml:space="preserve">,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</w:rPr>
        <w:t>7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"</w:t>
      </w:r>
      <w:r>
        <w:rPr>
          <w:rtl w:val="true"/>
        </w:rPr>
        <w:t>טעיתי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לפרוט</w:t>
      </w:r>
      <w:r>
        <w:rPr>
          <w:rtl w:val="true"/>
        </w:rPr>
        <w:t>').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Fonts w:ascii="David" w:hAnsi="David"/>
          <w:rtl w:val="true"/>
        </w:rPr>
        <w:t>העיקרון המנחה את בתי המשפט בעת גזירת העונש הוא עקרון ההלימה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דהיינו יחס הולם בין החומרה של מעשה העבירה בנסיבותיו ומידת אשמתו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לבין סוג העונש המוטל עליו ומידתו </w:t>
      </w:r>
      <w:r>
        <w:rPr>
          <w:rFonts w:cs="David" w:ascii="David" w:hAnsi="David"/>
          <w:rtl w:val="true"/>
        </w:rPr>
        <w:t>(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טרם גזירת העונש 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המבוסס על נסיבות ביצוע העבירה הייחודית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שנפגעו מביצועה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הנהוגה ונסיבות נוספות הקשורות בביצוע העבירה </w:t>
      </w:r>
      <w:r>
        <w:rPr>
          <w:rFonts w:cs="David" w:ascii="David" w:hAnsi="David"/>
          <w:rtl w:val="true"/>
        </w:rPr>
        <w:t>(</w:t>
      </w:r>
      <w:hyperlink r:id="rId13">
        <w:r>
          <w:rPr>
            <w:rStyle w:val="Hyperlink"/>
            <w:rFonts w:ascii="David" w:hAnsi="David"/>
            <w:rtl w:val="true"/>
          </w:rPr>
          <w:t>סעיפים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ג</w:t>
        </w:r>
      </w:hyperlink>
      <w:r>
        <w:rPr>
          <w:rFonts w:ascii="David" w:hAnsi="David"/>
          <w:rtl w:val="true"/>
        </w:rPr>
        <w:t xml:space="preserve"> ו</w:t>
      </w:r>
      <w:r>
        <w:rPr>
          <w:rFonts w:cs="David" w:ascii="David" w:hAnsi="David"/>
          <w:rtl w:val="true"/>
        </w:rPr>
        <w:t>-</w:t>
      </w:r>
      <w:hyperlink r:id="rId14"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ט</w:t>
        </w:r>
      </w:hyperlink>
      <w:r>
        <w:rPr>
          <w:rFonts w:ascii="David" w:hAnsi="David"/>
          <w:rtl w:val="true"/>
        </w:rPr>
        <w:t xml:space="preserve"> 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הענישה ההולמת על בית המשפט לאזן בין מספר אינטרסים שונים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תדירות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אופן ומידת ההשפעה שלהן על החברה 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 נסיבותיו האישיות של מבצע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אפשרויות שיקום 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9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והערכים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והעמדת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tl w:val="true"/>
        </w:rPr>
        <w:t xml:space="preserve">, </w:t>
      </w:r>
      <w:r>
        <w:rPr>
          <w:rtl w:val="true"/>
        </w:rPr>
        <w:t>שבגינן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512/13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4/12/13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מלצר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שינברג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6/12/18</w:t>
      </w:r>
      <w:r>
        <w:rPr>
          <w:rtl w:val="true"/>
        </w:rPr>
        <w:t xml:space="preserve">);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פוגלמן</w:t>
      </w:r>
      <w:r>
        <w:rPr>
          <w:rtl w:val="true"/>
        </w:rPr>
        <w:t xml:space="preserve">); 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0"/>
          <w:szCs w:val="20"/>
        </w:rPr>
      </w:pP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11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שאינן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מודיעיניות</w:t>
      </w:r>
      <w:r>
        <w:rPr>
          <w:rtl w:val="true"/>
        </w:rPr>
        <w:t xml:space="preserve">, </w:t>
      </w:r>
      <w:r>
        <w:rPr>
          <w:rtl w:val="true"/>
        </w:rPr>
        <w:t>חסיונות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23/2/22</w:t>
      </w:r>
      <w:r>
        <w:rPr>
          <w:rtl w:val="true"/>
        </w:rPr>
        <w:t xml:space="preserve">,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12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לגבי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הסדרי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  <w:sz w:val="22"/>
          <w:szCs w:val="22"/>
        </w:rPr>
      </w:pPr>
      <w:r>
        <w:rPr>
          <w:rFonts w:ascii="David" w:hAnsi="David"/>
          <w:rtl w:val="true"/>
        </w:rPr>
        <w:t>התשתית הנורמטיבית לעניין הסדרי טיעון נסקרה בהרחבה על ידי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 ביניש</w:t>
      </w:r>
      <w:r>
        <w:rPr>
          <w:rFonts w:ascii="David" w:hAnsi="David"/>
          <w:rtl w:val="true"/>
        </w:rPr>
        <w:t xml:space="preserve"> ב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1958/98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נז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577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נקבע כי ככלל יקיים בית משפט הסדרי טיעון שהונחו בפניו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הטעמים הקשורים בחשיבותם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מחובתו של בית המשפט לבחון אם הסדר הטיעון המסוים מאזן בין טובת ההנאה שמעניק ההסדר לנאשם לבין האינטרס הציבורי שיש בעונש המוצע במסגרתו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וכך נאמר</w:t>
      </w:r>
      <w:r>
        <w:rPr>
          <w:rFonts w:cs="Times New Roman"/>
          <w:sz w:val="22"/>
          <w:szCs w:val="22"/>
          <w:rtl w:val="true"/>
        </w:rPr>
        <w:t xml:space="preserve">: </w:t>
      </w:r>
    </w:p>
    <w:p>
      <w:pPr>
        <w:pStyle w:val="Normal"/>
        <w:spacing w:lineRule="auto" w:line="254" w:before="0" w:after="160"/>
        <w:ind w:start="720" w:end="0"/>
        <w:jc w:val="both"/>
        <w:rPr>
          <w:rFonts w:ascii="Calibri" w:hAnsi="Calibri" w:cs="Arial"/>
          <w:sz w:val="14"/>
          <w:szCs w:val="14"/>
        </w:rPr>
      </w:pPr>
      <w:r>
        <w:rPr>
          <w:rFonts w:cs="Arial" w:ascii="Calibri" w:hAnsi="Calibri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>
          <w:rFonts w:ascii="Calibri" w:hAnsi="Calibri" w:cs="Times New Roman"/>
          <w:sz w:val="2"/>
          <w:szCs w:val="2"/>
        </w:rPr>
      </w:pPr>
      <w:r>
        <w:rPr>
          <w:rFonts w:cs="Miriam"/>
          <w:rtl w:val="true"/>
        </w:rPr>
        <w:t xml:space="preserve">"... </w:t>
      </w:r>
      <w:r>
        <w:rPr>
          <w:rFonts w:cs="Miriam"/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בחינתו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הרלוונטיים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ביניהם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וישקיף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שערכה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ראויה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ויתחשב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שמנינו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ויבדוק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הדרוש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הטיעון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האמור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חרגה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במזיד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בשוגג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לב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מנותקות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מהצדקה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עניינית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ויגזור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דעתו</w:t>
      </w:r>
      <w:r>
        <w:rPr>
          <w:rFonts w:cs="Miriam"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607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610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כן ראו</w:t>
      </w:r>
      <w:r>
        <w:rPr>
          <w:rFonts w:ascii="David" w:hAnsi="David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1717/06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זינה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12/11/07</w:t>
      </w:r>
      <w:r>
        <w:rPr>
          <w:rFonts w:cs="David" w:ascii="David" w:hAnsi="David"/>
          <w:rtl w:val="true"/>
        </w:rPr>
        <w:t>)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רובינשטיין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ראו גם</w:t>
      </w:r>
      <w:r>
        <w:rPr>
          <w:rFonts w:ascii="David" w:hAnsi="David"/>
          <w:rtl w:val="true"/>
        </w:rPr>
        <w:t xml:space="preserve">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351/07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6/6/07</w:t>
      </w:r>
      <w:r>
        <w:rPr>
          <w:rFonts w:cs="David" w:ascii="David" w:hAnsi="David"/>
          <w:rtl w:val="true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פוגלמן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הלכה היא כי רק במקרים חריגים יסטה בית המשפט מהסדר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שוכנע כי בשיקולי התביעה נפל פגם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די בכך שהענישה שונה מהענישה הראויה לפי השקפתו של בית המשפט כדי לקיים תנאי זה</w:t>
      </w:r>
      <w:r>
        <w:rPr>
          <w:rFonts w:cs="David" w:ascii="David" w:hAnsi="David"/>
          <w:rtl w:val="true"/>
        </w:rPr>
        <w:t xml:space="preserve">: </w:t>
      </w:r>
      <w:r>
        <w:rPr>
          <w:rFonts w:cs="Times New Roman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Arial"/>
          <w:sz w:val="2"/>
          <w:szCs w:val="2"/>
        </w:rPr>
      </w:pPr>
      <w:r>
        <w:rPr>
          <w:rFonts w:cs="Arial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1440" w:end="0"/>
        <w:jc w:val="both"/>
        <w:rPr/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בגוזרו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לפטור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וככלל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לקיימו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ראו</w:t>
      </w:r>
      <w:r>
        <w:rPr>
          <w:rFonts w:cs="Miriam"/>
          <w:rtl w:val="true"/>
        </w:rPr>
        <w:t xml:space="preserve">: </w:t>
      </w:r>
      <w:hyperlink r:id="rId21">
        <w:r>
          <w:rPr>
            <w:rStyle w:val="Hyperlink"/>
            <w:rFonts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</w:rPr>
          <w:t>1958/98</w:t>
        </w:r>
      </w:hyperlink>
      <w:r>
        <w:rPr>
          <w:rFonts w:cs="Miriam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פ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נז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</w:rPr>
        <w:t>1</w:t>
      </w:r>
      <w:r>
        <w:rPr>
          <w:rFonts w:cs="Miriam"/>
          <w:rtl w:val="true"/>
        </w:rPr>
        <w:t xml:space="preserve">) </w:t>
      </w:r>
      <w:r>
        <w:rPr>
          <w:rFonts w:cs="Miriam"/>
        </w:rPr>
        <w:t>577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להלן</w:t>
      </w:r>
      <w:r>
        <w:rPr>
          <w:rFonts w:cs="Miriam"/>
          <w:rtl w:val="true"/>
        </w:rPr>
        <w:t xml:space="preserve">: </w:t>
      </w:r>
      <w:r>
        <w:rPr>
          <w:rFonts w:cs="Miriam"/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Miriam"/>
          <w:rtl w:val="true"/>
        </w:rPr>
        <w:t xml:space="preserve">).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טיעון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שאומצה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החריגים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ששוכנע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התביעה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לבדה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ההסדר</w:t>
      </w:r>
      <w:r>
        <w:rPr>
          <w:rFonts w:cs="Times New Roman"/>
          <w:rtl w:val="true"/>
        </w:rPr>
        <w:t xml:space="preserve">". </w:t>
      </w:r>
      <w:r>
        <w:rPr>
          <w:rtl w:val="true"/>
          <w:lang w:eastAsia="he-IL"/>
        </w:rPr>
        <w:t>(</w:t>
      </w:r>
      <w:hyperlink r:id="rId2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9600/04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משראקי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2/3/05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מפי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הש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חיות</w:t>
      </w:r>
      <w:r>
        <w:rPr>
          <w:rtl w:val="true"/>
          <w:lang w:eastAsia="he-IL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sz w:val="14"/>
          <w:szCs w:val="14"/>
          <w:lang w:eastAsia="he-IL"/>
        </w:rPr>
      </w:pPr>
      <w:r>
        <w:rPr>
          <w:sz w:val="14"/>
          <w:szCs w:val="14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eastAsia="he-IL"/>
        </w:rPr>
        <w:t>לפיכך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שמיעת טיעוניהם של הצדדים ביחס למכלול השיקולים שהנחו אותם בהגיעם להסדר</w:t>
      </w:r>
      <w:r>
        <w:rPr>
          <w:rFonts w:cs="Calibri" w:ascii="Calibri" w:hAnsi="Calibri"/>
          <w:rtl w:val="true"/>
          <w:lang w:eastAsia="he-IL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עריכת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הנדרשים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 </w:t>
      </w:r>
      <w:r>
        <w:rPr>
          <w:rFonts w:ascii="Calibri" w:hAnsi="Calibri" w:cs="Calibri"/>
          <w:rtl w:val="true"/>
          <w:lang w:eastAsia="he-IL"/>
        </w:rPr>
        <w:t>חומרת העבירות בה הורשעו הנאשמים ומדיניות הענישה הראויה בעבירות כגון דא מחד גיסא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מול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נסיבותיו האישיות של כל נאשם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הודייתו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חרטתו והסתמכותו על הסדר הטיעון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תוך מחילה על זכותו לטעון לחפותו ולדרוש מהתביעה כי תוכיח אשמתו מעבר לכל ספק סביר מאידך גיסא </w:t>
      </w:r>
      <w:r>
        <w:rPr>
          <w:rFonts w:cs="Calibri" w:ascii="Calibri" w:hAnsi="Calibri"/>
          <w:rtl w:val="true"/>
          <w:lang w:eastAsia="he-IL"/>
        </w:rPr>
        <w:t xml:space="preserve">-  </w:t>
      </w:r>
      <w:r>
        <w:rPr>
          <w:rFonts w:ascii="Calibri" w:hAnsi="Calibri" w:cs="Calibri"/>
          <w:rtl w:val="true"/>
          <w:lang w:eastAsia="he-IL"/>
        </w:rPr>
        <w:t>סבורני כי אין עסקינן באותם מקרים חריגים בהם יהא זה מן המידה לסטות מהסדר הטיעון שהוצג בפני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חזקה על הצדדים כי שקלו היטב את שיקוליהם בהגיעם להסדר המתואר לעיל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ונימוקיו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</w:rPr>
        <w:t>13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23/2/22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rtl w:val="true"/>
        </w:rPr>
        <w:tab/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באי כוח הצדדים והנאשם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531" w:right="1304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43581-03-22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פאדי נג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340a.b.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law/70301/4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/40i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5569233" TargetMode="External"/><Relationship Id="rId17" Type="http://schemas.openxmlformats.org/officeDocument/2006/relationships/hyperlink" Target="http://www.nevo.co.il/case/23825973" TargetMode="External"/><Relationship Id="rId18" Type="http://schemas.openxmlformats.org/officeDocument/2006/relationships/hyperlink" Target="http://www.nevo.co.il/case/161892" TargetMode="External"/><Relationship Id="rId19" Type="http://schemas.openxmlformats.org/officeDocument/2006/relationships/hyperlink" Target="http://www.nevo.co.il/case/5787004" TargetMode="External"/><Relationship Id="rId20" Type="http://schemas.openxmlformats.org/officeDocument/2006/relationships/hyperlink" Target="http://www.nevo.co.il/case/6189976" TargetMode="External"/><Relationship Id="rId21" Type="http://schemas.openxmlformats.org/officeDocument/2006/relationships/hyperlink" Target="http://www.nevo.co.il/case/161892" TargetMode="External"/><Relationship Id="rId22" Type="http://schemas.openxmlformats.org/officeDocument/2006/relationships/hyperlink" Target="http://www.nevo.co.il/case/6156379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2023-05-08T09:48:00Z</dcterms:created>
  <dc:creator> </dc:creator>
  <dc:description/>
  <cp:keywords/>
  <dc:language>en-IL</dc:language>
  <cp:lastModifiedBy>h1</cp:lastModifiedBy>
  <dcterms:modified xsi:type="dcterms:W3CDTF">2023-05-08T09:48:00Z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פאדי נג'מי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5569233;23825973;161892:2;5787004;6189976;6156379</vt:lpwstr>
  </property>
  <property fmtid="{D5CDD505-2E9C-101B-9397-08002B2CF9AE}" pid="9" name="CITY">
    <vt:lpwstr>חי'</vt:lpwstr>
  </property>
  <property fmtid="{D5CDD505-2E9C-101B-9397-08002B2CF9AE}" pid="10" name="DATE">
    <vt:lpwstr>20220615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דיאנה סלע</vt:lpwstr>
  </property>
  <property fmtid="{D5CDD505-2E9C-101B-9397-08002B2CF9AE}" pid="14" name="LAWLISTTMP1">
    <vt:lpwstr>70301/144.a;340a.b.1;040;040c;040i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43581</vt:lpwstr>
  </property>
  <property fmtid="{D5CDD505-2E9C-101B-9397-08002B2CF9AE}" pid="22" name="NEWPARTB">
    <vt:lpwstr>03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390020220615</vt:lpwstr>
  </property>
  <property fmtid="{D5CDD505-2E9C-101B-9397-08002B2CF9AE}" pid="34" name="TYPE_N_DATE">
    <vt:lpwstr>39020220615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