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43643-10-15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עיסאוי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bookmarkStart w:id="2" w:name="FirstAppellant"/>
      <w:bookmarkEnd w:id="2"/>
      <w:r>
        <w:rPr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</w:t>
      </w:r>
      <w:r>
        <w:rPr>
          <w:rStyle w:val="TimesNewRomanTimesNewRoman"/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>-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bookmarkStart w:id="3" w:name="FirstAppellant"/>
      <w:bookmarkEnd w:id="3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b/>
          <w:bCs/>
          <w:sz w:val="26"/>
          <w:szCs w:val="26"/>
          <w:rtl w:val="true"/>
        </w:rPr>
        <w:t>-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נדון</w:t>
      </w:r>
      <w:r>
        <w:rPr>
          <w:rtl w:val="true"/>
        </w:rPr>
        <w:t>)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rtl w:val="true"/>
        </w:rPr>
        <w:t>.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עיסאוי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rtl w:val="true"/>
        </w:rPr>
        <w:t>.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</w:t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sz w:val="6"/>
          <w:szCs w:val="6"/>
          <w:u w:val="none"/>
        </w:rPr>
      </w:pPr>
      <w:r>
        <w:rPr>
          <w:rFonts w:cs="David" w:ascii="David" w:hAnsi="David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שגב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אדלר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עמיקם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ציבורית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סיפא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eastAsia="Arial" w:cs="Arial" w:ascii="Arial" w:hAnsi="Arial"/>
          <w:sz w:val="32"/>
          <w:szCs w:val="32"/>
          <w:rtl w:val="true"/>
        </w:rPr>
        <w:t xml:space="preserve">   </w:t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</w:rPr>
      </w:pPr>
      <w:bookmarkStart w:id="8" w:name="PsakDin"/>
      <w:bookmarkEnd w:id="8"/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  <w:t>(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בעניינו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 w:ascii="Arial" w:hAnsi="Arial"/>
          <w:b/>
          <w:bCs/>
          <w:sz w:val="32"/>
          <w:szCs w:val="32"/>
          <w:u w:val="single"/>
        </w:rPr>
        <w:t>2</w:t>
      </w: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בלבד</w:t>
      </w: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סיפא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</w:hyperlink>
      <w:r>
        <w:rPr>
          <w:rtl w:val="true"/>
        </w:rPr>
        <w:t>סיפא</w:t>
      </w:r>
      <w:r>
        <w:rPr>
          <w:rtl w:val="true"/>
        </w:rPr>
        <w:t>) +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12.10.15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איאד</w:t>
      </w:r>
      <w:r>
        <w:rPr>
          <w:rtl w:val="true"/>
        </w:rPr>
        <w:t xml:space="preserve">")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שאהר</w:t>
      </w:r>
      <w:r>
        <w:rPr>
          <w:rtl w:val="true"/>
        </w:rPr>
        <w:t xml:space="preserve">")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כספרה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6.7.16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16.1.17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ליפשיץ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7.6.16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20.9.16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שהתגרשו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וכתיבה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בלווייתו</w:t>
      </w:r>
      <w:r>
        <w:rPr>
          <w:rtl w:val="true"/>
        </w:rPr>
        <w:t xml:space="preserve">.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התרסה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2006-2009</w:t>
      </w:r>
      <w:r>
        <w:rPr>
          <w:rtl w:val="true"/>
        </w:rPr>
        <w:t xml:space="preserve">,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</w:t>
      </w:r>
      <w:r>
        <w:rPr>
          <w:rtl w:val="true"/>
        </w:rPr>
        <w:t xml:space="preserve">,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ויומיומי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מילדותו</w:t>
      </w:r>
      <w:r>
        <w:rPr>
          <w:rtl w:val="true"/>
        </w:rPr>
        <w:t xml:space="preserve">,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, </w:t>
      </w:r>
      <w:r>
        <w:rPr>
          <w:rtl w:val="true"/>
        </w:rPr>
        <w:t>גובשו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20.6.16</w:t>
      </w:r>
      <w:r>
        <w:rPr>
          <w:rtl w:val="true"/>
        </w:rPr>
        <w:t xml:space="preserve"> 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23390-11-15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18.9.16</w:t>
      </w:r>
      <w:r>
        <w:rPr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, </w:t>
      </w:r>
      <w:r>
        <w:rPr>
          <w:rtl w:val="true"/>
        </w:rPr>
        <w:t>ולקביעת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. 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בתכנונן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12.9.2012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10.5.16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24.6.15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>:</w:t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Quote"/>
        <w:spacing w:lineRule="auto" w:line="360" w:before="0" w:after="0"/>
        <w:ind w:start="1134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נוכח היקפן המתרחב של עבירות המבוצעות בנשק בכלל וסחר בנשק בפרט</w:t>
      </w:r>
      <w:r>
        <w:rPr>
          <w:rtl w:val="true"/>
        </w:rPr>
        <w:t xml:space="preserve">, </w:t>
      </w:r>
      <w:r>
        <w:rPr>
          <w:rtl w:val="true"/>
        </w:rPr>
        <w:t>וזמינותו המדאיגה של נשק בלתי חוקי במחוזותינו</w:t>
      </w:r>
      <w:r>
        <w:rPr>
          <w:rtl w:val="true"/>
        </w:rPr>
        <w:t xml:space="preserve">, </w:t>
      </w:r>
      <w:r>
        <w:rPr>
          <w:rtl w:val="true"/>
        </w:rPr>
        <w:t>התעורר הצורך להחמיר בעונשי המאסר המוטלים בעבירות אלה</w:t>
      </w:r>
      <w:r>
        <w:rPr>
          <w:rtl w:val="true"/>
        </w:rPr>
        <w:t xml:space="preserve">. </w:t>
      </w:r>
      <w:r>
        <w:rPr>
          <w:rtl w:val="true"/>
        </w:rPr>
        <w:t xml:space="preserve">אכן </w:t>
      </w:r>
      <w:r>
        <w:rPr>
          <w:rtl w:val="true"/>
        </w:rPr>
        <w:t>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 כלי נשק מיד ליד ללא פיקוח עלול להוביל להגעתם בדרך לא דרך לגורמים פליליים ועוינים</w:t>
      </w:r>
      <w:r>
        <w:rPr>
          <w:rtl w:val="true"/>
        </w:rPr>
        <w:t xml:space="preserve">. </w:t>
      </w:r>
      <w:r>
        <w:rPr>
          <w:rtl w:val="true"/>
        </w:rPr>
        <w:t xml:space="preserve">אין לדעת מה יעלה בגורלם של כלי נשק אלה ולאילו תוצאות הרסניות יובילו </w:t>
      </w:r>
      <w:r>
        <w:rPr>
          <w:rtl w:val="true"/>
        </w:rPr>
        <w:t xml:space="preserve">- </w:t>
      </w:r>
      <w:r>
        <w:rPr>
          <w:rtl w:val="true"/>
        </w:rPr>
        <w:t>בסכסוך ברחוב</w:t>
      </w:r>
      <w:r>
        <w:rPr>
          <w:rtl w:val="true"/>
        </w:rPr>
        <w:t xml:space="preserve">, </w:t>
      </w:r>
      <w:r>
        <w:rPr>
          <w:rtl w:val="true"/>
        </w:rPr>
        <w:t>בקטטה בין ניצים ואף בתוך המשפחה פנימה</w:t>
      </w:r>
      <w:r>
        <w:rPr>
          <w:rtl w:val="true"/>
        </w:rPr>
        <w:t xml:space="preserve">. </w:t>
      </w:r>
      <w:r>
        <w:rPr>
          <w:rtl w:val="true"/>
        </w:rPr>
        <w:t>הסכנה הנשקפת לציבור כתוצאה מעבירות אלה</w:t>
      </w:r>
      <w:r>
        <w:rPr>
          <w:rtl w:val="true"/>
        </w:rPr>
        <w:t xml:space="preserve">, </w:t>
      </w:r>
      <w:r>
        <w:rPr>
          <w:rtl w:val="true"/>
        </w:rPr>
        <w:t>לצד הממדים שאליהם הגיעו</w:t>
      </w:r>
      <w:r>
        <w:rPr>
          <w:rtl w:val="true"/>
        </w:rPr>
        <w:t xml:space="preserve">, </w:t>
      </w:r>
      <w:r>
        <w:rPr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tl w:val="true"/>
        </w:rPr>
        <w:t xml:space="preserve">, </w:t>
      </w:r>
      <w:r>
        <w:rPr>
          <w:rtl w:val="true"/>
        </w:rPr>
        <w:t>הגנה על שלום הציבור מפני פגיעות בגוף או בנפש</w:t>
      </w:r>
      <w:r>
        <w:rPr>
          <w:rtl w:val="true"/>
        </w:rPr>
        <w:t xml:space="preserve">, </w:t>
      </w:r>
      <w:r>
        <w:rPr>
          <w:rtl w:val="true"/>
        </w:rPr>
        <w:t>ולהחמיר את עונשי המאסר המוטלים בגין פעילות עבריינית 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למותר לציין כי אין בכך כדי לחתור תחת האופי האינדיבידואלי שבמלאכת הענישה</w:t>
      </w:r>
      <w:r>
        <w:rPr>
          <w:rtl w:val="true"/>
        </w:rPr>
        <w:t xml:space="preserve">, </w:t>
      </w:r>
      <w:r>
        <w:rPr>
          <w:rtl w:val="true"/>
        </w:rPr>
        <w:t>הנעשית בכל מקרה לגופו</w:t>
      </w:r>
      <w:r>
        <w:rPr>
          <w:rtl w:val="true"/>
        </w:rPr>
        <w:t xml:space="preserve">, </w:t>
      </w:r>
      <w:r>
        <w:rPr>
          <w:rtl w:val="true"/>
        </w:rPr>
        <w:t>לפי נסיבותיו ומידת אשמו של הנאשם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 xml:space="preserve">,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2.12.14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spacing w:lineRule="auto" w:line="360" w:before="0" w:after="0"/>
        <w:ind w:start="1134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חומרתה של עבירת החזקת הנשק</w:t>
      </w:r>
      <w:r>
        <w:rPr>
          <w:rtl w:val="true"/>
        </w:rPr>
        <w:t xml:space="preserve">, </w:t>
      </w:r>
      <w:r>
        <w:rPr>
          <w:rtl w:val="true"/>
        </w:rPr>
        <w:t>מקורה בכך שעבירה זאת אינה נעשית לרוב אלא כדי לאפשר ביצוען של עבירות אחרות</w:t>
      </w:r>
      <w:r>
        <w:rPr>
          <w:rtl w:val="true"/>
        </w:rPr>
        <w:t xml:space="preserve">, </w:t>
      </w:r>
      <w:r>
        <w:rPr>
          <w:rtl w:val="true"/>
        </w:rPr>
        <w:t>שמעצם טבעו של הנשק</w:t>
      </w:r>
      <w:r>
        <w:rPr>
          <w:rtl w:val="true"/>
        </w:rPr>
        <w:t xml:space="preserve">, </w:t>
      </w:r>
      <w:r>
        <w:rPr>
          <w:rtl w:val="true"/>
        </w:rPr>
        <w:t>כרוכות באלימות או בהפחדה</w:t>
      </w:r>
      <w:r>
        <w:rPr>
          <w:rtl w:val="true"/>
        </w:rPr>
        <w:t xml:space="preserve">. </w:t>
      </w:r>
      <w:r>
        <w:rPr>
          <w:rtl w:val="true"/>
        </w:rPr>
        <w:t>כשעסקינן במי שהעולם הפלילי אינו זר להם</w:t>
      </w:r>
      <w:r>
        <w:rPr>
          <w:rtl w:val="true"/>
        </w:rPr>
        <w:t xml:space="preserve">... </w:t>
      </w:r>
      <w:r>
        <w:rPr>
          <w:rtl w:val="true"/>
        </w:rPr>
        <w:t>מקבלים הדברים משנה תוקף</w:t>
      </w:r>
      <w:r>
        <w:rPr>
          <w:rtl w:val="true"/>
        </w:rPr>
        <w:t xml:space="preserve">... </w:t>
      </w:r>
      <w:r>
        <w:rPr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מחייבת מתן ביטוי עונשי הולם והחמרה ברמת הענישה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1332/04</w:t>
      </w:r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 xml:space="preserve">סעיף </w:t>
      </w:r>
      <w:r>
        <w:rPr/>
        <w:t>4</w:t>
      </w:r>
      <w:r>
        <w:rPr>
          <w:rtl w:val="true"/>
        </w:rPr>
        <w:t xml:space="preserve"> ([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19.4.04</w:t>
      </w:r>
      <w:r>
        <w:rPr>
          <w:rtl w:val="true"/>
        </w:rPr>
        <w:t xml:space="preserve">)). </w:t>
      </w:r>
      <w:r>
        <w:rPr>
          <w:rtl w:val="true"/>
        </w:rPr>
        <w:t>יש לעשות כן עוד בטרם ייעשה באקדח שימוש קטלני</w:t>
      </w:r>
      <w:r>
        <w:rPr>
          <w:rtl w:val="true"/>
        </w:rPr>
        <w:t xml:space="preserve">, </w:t>
      </w:r>
      <w:r>
        <w:rPr>
          <w:rtl w:val="true"/>
        </w:rPr>
        <w:t>באמצעות הרחקת המחזיק בו מן החברה לפרק זמן</w:t>
      </w:r>
      <w:r>
        <w:rPr>
          <w:rtl w:val="true"/>
        </w:rPr>
        <w:t xml:space="preserve">, </w:t>
      </w:r>
      <w:r>
        <w:rPr>
          <w:rtl w:val="true"/>
        </w:rPr>
        <w:t xml:space="preserve">והעברת מסר מרתיע באמצעות עונש מאסר ממשי לריצוי בפועל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([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27.7.08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 ליבוביץ</w:t>
      </w:r>
      <w:r>
        <w:rPr>
          <w:rtl w:val="true"/>
        </w:rPr>
        <w:t xml:space="preserve">');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tl w:val="true"/>
        </w:rPr>
        <w:t>עוואודה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([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30.12.09</w:t>
      </w:r>
      <w:r>
        <w:rPr>
          <w:rtl w:val="true"/>
        </w:rPr>
        <w:t>))".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Arial"/>
          <w:sz w:val="22"/>
          <w:szCs w:val="22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גובשו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והמין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12.10.15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20.12.15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start="1077" w:end="0"/>
        <w:contextualSpacing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יתייצב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הדרים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18.12.16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10.00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כניסתו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טלפונים–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08-9787377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08-9787336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מובהר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ימשיכו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נמנעתי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43643-10-15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איאד עיסאוי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ascii="Calibri" w:hAnsi="Calibri" w:eastAsia="Calibri" w:cs="David"/>
      <w:i/>
      <w:sz w:val="22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Quote">
    <w:name w:val="Quote"/>
    <w:basedOn w:val="Normal"/>
    <w:next w:val="Normal"/>
    <w:qFormat/>
    <w:pPr>
      <w:spacing w:lineRule="auto" w:line="254" w:before="200" w:after="160"/>
      <w:ind w:hanging="0" w:start="864" w:end="864"/>
      <w:jc w:val="center"/>
    </w:pPr>
    <w:rPr>
      <w:rFonts w:ascii="Calibri" w:hAnsi="Calibri" w:eastAsia="Calibri" w:cs="Calibri"/>
      <w:i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c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case/20719339" TargetMode="External"/><Relationship Id="rId18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5821328" TargetMode="External"/><Relationship Id="rId22" Type="http://schemas.openxmlformats.org/officeDocument/2006/relationships/hyperlink" Target="http://www.nevo.co.il/case/5716796" TargetMode="External"/><Relationship Id="rId23" Type="http://schemas.openxmlformats.org/officeDocument/2006/relationships/hyperlink" Target="http://www.nevo.co.il/case/21472954" TargetMode="External"/><Relationship Id="rId24" Type="http://schemas.openxmlformats.org/officeDocument/2006/relationships/hyperlink" Target="http://www.nevo.co.il/case/20395125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5762686" TargetMode="External"/><Relationship Id="rId27" Type="http://schemas.openxmlformats.org/officeDocument/2006/relationships/hyperlink" Target="http://www.nevo.co.il/case/17948201" TargetMode="External"/><Relationship Id="rId28" Type="http://schemas.openxmlformats.org/officeDocument/2006/relationships/hyperlink" Target="http://www.nevo.co.il/case/5969313" TargetMode="External"/><Relationship Id="rId29" Type="http://schemas.openxmlformats.org/officeDocument/2006/relationships/hyperlink" Target="http://www.nevo.co.il/case/5891605" TargetMode="External"/><Relationship Id="rId30" Type="http://schemas.openxmlformats.org/officeDocument/2006/relationships/hyperlink" Target="http://www.nevo.co.il/case/6000182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2017-10-10T08:41:00Z</dcterms:created>
  <dc:creator> </dc:creator>
  <dc:description/>
  <cp:keywords/>
  <dc:language>en-IL</dc:language>
  <cp:lastModifiedBy>yafit</cp:lastModifiedBy>
  <dcterms:modified xsi:type="dcterms:W3CDTF">2017-10-10T08:41:00Z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עיסאוי ; יוסף עיסאוי;שאהר זיד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20719339;5821327;5821328;5716796;21472954;20395125;6473037;5762686;17948201;5969313;5891605;6000182</vt:lpwstr>
  </property>
  <property fmtid="{D5CDD505-2E9C-101B-9397-08002B2CF9AE}" pid="9" name="CITY">
    <vt:lpwstr>חי'</vt:lpwstr>
  </property>
  <property fmtid="{D5CDD505-2E9C-101B-9397-08002B2CF9AE}" pid="10" name="DATE">
    <vt:lpwstr>20161103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70301/144.a;144.c:2;029;144.b;031;040c;40ja</vt:lpwstr>
  </property>
  <property fmtid="{D5CDD505-2E9C-101B-9397-08002B2CF9AE}" pid="15" name="LAWYER">
    <vt:lpwstr>שגב אדלר ;עמיקם שוחט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43643</vt:lpwstr>
  </property>
  <property fmtid="{D5CDD505-2E9C-101B-9397-08002B2CF9AE}" pid="22" name="NEWPARTB">
    <vt:lpwstr>10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390020161103</vt:lpwstr>
  </property>
  <property fmtid="{D5CDD505-2E9C-101B-9397-08002B2CF9AE}" pid="34" name="TYPE_N_DATE">
    <vt:lpwstr>39020161103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