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Arial" w:hAnsi="Arial" w:cs="Arial"/>
                <w:color w:val="000080"/>
              </w:rPr>
            </w:pPr>
            <w:bookmarkStart w:id="0" w:name="LastJudge"/>
            <w:bookmarkEnd w:id="0"/>
            <w:r>
              <w:rPr>
                <w:rFonts w:ascii="Arial" w:hAnsi="Arial" w:cs="Arial"/>
                <w:b/>
                <w:b/>
                <w:bCs/>
                <w:color w:val="00008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Header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Arial" w:ascii="Arial" w:hAnsi="Arial"/>
                <w:sz w:val="28"/>
                <w:szCs w:val="28"/>
              </w:rPr>
              <w:t>43646-03-10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עאזם ואח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'</w:t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Fonts w:cs="Arial" w:ascii="Arial" w:hAnsi="Arial"/>
                <w:sz w:val="28"/>
                <w:szCs w:val="28"/>
              </w:rPr>
              <w:t>0</w:t>
            </w:r>
            <w:r>
              <w:rPr>
                <w:rFonts w:cs="Arial" w:ascii="Arial" w:hAnsi="Arial"/>
                <w:sz w:val="28"/>
                <w:szCs w:val="28"/>
              </w:rPr>
              <w:t>6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פברואר </w:t>
            </w:r>
            <w:r>
              <w:rPr>
                <w:rFonts w:cs="Arial" w:ascii="Arial" w:hAnsi="Aria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rFonts w:eastAsia="Arial"/>
        </w:rPr>
      </w:pPr>
      <w:r>
        <w:rPr>
          <w:rFonts w:eastAsia="Arial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 ורדה מרוז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נועה ארזי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איסלאם עאזם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ינן עאזם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איהאב ג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לג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ולי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כללי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bookmarkStart w:id="10" w:name="ABSTRACT_START"/>
      <w:bookmarkEnd w:id="10"/>
      <w:r>
        <w:rPr>
          <w:rFonts w:ascii="Arial" w:hAnsi="Arial" w:cs="Arial"/>
          <w:rtl w:val="true"/>
        </w:rPr>
        <w:t>הנאשמים הודו בעובדות 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שהוגש במסגרת הסדר טיעון והורשעו  </w:t>
      </w:r>
      <w:r>
        <w:rPr>
          <w:rStyle w:val="david-h1"/>
          <w:rFonts w:ascii="Arial" w:hAnsi="Arial" w:cs="Arial"/>
          <w:rtl w:val="true"/>
        </w:rPr>
        <w:t>בשתי עבירות שעניינן שוד מזוין בחבורה</w:t>
      </w:r>
      <w:r>
        <w:rPr>
          <w:rStyle w:val="david-h1"/>
          <w:rFonts w:cs="Arial" w:ascii="Arial" w:hAnsi="Arial"/>
          <w:rtl w:val="true"/>
        </w:rPr>
        <w:t xml:space="preserve">, </w:t>
      </w:r>
      <w:r>
        <w:rPr>
          <w:rStyle w:val="david-h1"/>
          <w:rFonts w:ascii="Arial" w:hAnsi="Arial" w:cs="Arial"/>
          <w:rtl w:val="true"/>
        </w:rPr>
        <w:t xml:space="preserve">לפי סעיף </w:t>
      </w:r>
      <w:r>
        <w:rPr>
          <w:rStyle w:val="david-h1"/>
          <w:rFonts w:cs="Arial" w:ascii="Arial" w:hAnsi="Arial"/>
        </w:rPr>
        <w:t>402</w:t>
      </w:r>
      <w:r>
        <w:rPr>
          <w:rStyle w:val="david-h1"/>
          <w:rFonts w:cs="Arial" w:ascii="Arial" w:hAnsi="Arial"/>
          <w:rtl w:val="true"/>
        </w:rPr>
        <w:t>(</w:t>
      </w:r>
      <w:r>
        <w:rPr>
          <w:rStyle w:val="david-h1"/>
          <w:rFonts w:ascii="Arial" w:hAnsi="Arial" w:cs="Arial"/>
          <w:rtl w:val="true"/>
        </w:rPr>
        <w:t>ב</w:t>
      </w:r>
      <w:r>
        <w:rPr>
          <w:rStyle w:val="david-h1"/>
          <w:rFonts w:cs="Arial" w:ascii="Arial" w:hAnsi="Arial"/>
          <w:rtl w:val="true"/>
        </w:rPr>
        <w:t xml:space="preserve">) </w:t>
      </w:r>
      <w:r>
        <w:rPr>
          <w:rStyle w:val="david-h1"/>
          <w:rFonts w:ascii="Arial" w:hAnsi="Arial" w:cs="Arial"/>
          <w:rtl w:val="true"/>
        </w:rPr>
        <w:t>ל</w:t>
      </w:r>
      <w:hyperlink r:id="rId4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Style w:val="david-h1"/>
          <w:rFonts w:ascii="Arial" w:hAnsi="Arial" w:cs="Arial"/>
          <w:rtl w:val="true"/>
        </w:rPr>
        <w:t xml:space="preserve"> תשל</w:t>
      </w:r>
      <w:r>
        <w:rPr>
          <w:rStyle w:val="david-h1"/>
          <w:rFonts w:cs="Arial" w:ascii="Arial" w:hAnsi="Arial"/>
          <w:rtl w:val="true"/>
        </w:rPr>
        <w:t>"</w:t>
      </w:r>
      <w:r>
        <w:rPr>
          <w:rStyle w:val="david-h1"/>
          <w:rFonts w:ascii="Arial" w:hAnsi="Arial" w:cs="Arial"/>
          <w:rtl w:val="true"/>
        </w:rPr>
        <w:t xml:space="preserve">ז – </w:t>
      </w:r>
      <w:r>
        <w:rPr>
          <w:rStyle w:val="david-h1"/>
          <w:rFonts w:cs="Arial" w:ascii="Arial" w:hAnsi="Arial"/>
        </w:rPr>
        <w:t>1977</w:t>
      </w:r>
      <w:bookmarkStart w:id="11" w:name="ABSTRACT_END"/>
      <w:bookmarkEnd w:id="11"/>
      <w:r>
        <w:rPr>
          <w:rStyle w:val="david-h1"/>
          <w:rFonts w:cs="Arial" w:ascii="Arial" w:hAnsi="Arial"/>
          <w:rtl w:val="true"/>
        </w:rPr>
        <w:t xml:space="preserve"> (</w:t>
      </w:r>
      <w:r>
        <w:rPr>
          <w:rStyle w:val="david-h1"/>
          <w:rFonts w:ascii="Arial" w:hAnsi="Arial" w:cs="Arial"/>
          <w:rtl w:val="true"/>
        </w:rPr>
        <w:t>להלן</w:t>
      </w:r>
      <w:r>
        <w:rPr>
          <w:rStyle w:val="david-h1"/>
          <w:rFonts w:cs="Arial" w:ascii="Arial" w:hAnsi="Arial"/>
          <w:rtl w:val="true"/>
        </w:rPr>
        <w:t>: "</w:t>
      </w:r>
      <w:r>
        <w:rPr>
          <w:rStyle w:val="david-h1"/>
          <w:rFonts w:ascii="Arial" w:hAnsi="Arial" w:cs="Arial"/>
          <w:b/>
          <w:b/>
          <w:bCs/>
          <w:sz w:val="22"/>
          <w:sz w:val="22"/>
          <w:szCs w:val="22"/>
          <w:rtl w:val="true"/>
        </w:rPr>
        <w:t>החוק</w:t>
      </w:r>
      <w:r>
        <w:rPr>
          <w:rStyle w:val="david-h1"/>
          <w:rFonts w:cs="Arial" w:ascii="Arial" w:hAnsi="Arial"/>
          <w:rtl w:val="true"/>
        </w:rPr>
        <w:t xml:space="preserve">"). </w:t>
      </w:r>
      <w:r>
        <w:rPr>
          <w:rStyle w:val="david-h1"/>
          <w:rFonts w:ascii="Arial" w:hAnsi="Arial" w:cs="Arial"/>
          <w:rtl w:val="true"/>
        </w:rPr>
        <w:t>בנוסף</w:t>
      </w:r>
      <w:r>
        <w:rPr>
          <w:rStyle w:val="david-h1"/>
          <w:rFonts w:cs="Arial" w:ascii="Arial" w:hAnsi="Arial"/>
          <w:rtl w:val="true"/>
        </w:rPr>
        <w:t xml:space="preserve">, </w:t>
      </w:r>
      <w:r>
        <w:rPr>
          <w:rStyle w:val="david-h1"/>
          <w:rFonts w:ascii="Arial" w:hAnsi="Arial" w:cs="Arial"/>
          <w:rtl w:val="true"/>
        </w:rPr>
        <w:t xml:space="preserve">הורשע הנאשם </w:t>
      </w:r>
      <w:r>
        <w:rPr>
          <w:rStyle w:val="david-h1"/>
          <w:rFonts w:cs="Arial" w:ascii="Arial" w:hAnsi="Arial"/>
        </w:rPr>
        <w:t>1</w:t>
      </w:r>
      <w:r>
        <w:rPr>
          <w:rStyle w:val="david-h1"/>
          <w:rFonts w:cs="Arial" w:ascii="Arial" w:hAnsi="Arial"/>
          <w:rtl w:val="true"/>
        </w:rPr>
        <w:t xml:space="preserve"> </w:t>
      </w:r>
      <w:r>
        <w:rPr>
          <w:rStyle w:val="david-h1"/>
          <w:rFonts w:ascii="Arial" w:hAnsi="Arial" w:cs="Arial"/>
          <w:rtl w:val="true"/>
        </w:rPr>
        <w:t xml:space="preserve">בעבירה של החזקת תחמושת לפי סעיף </w:t>
      </w:r>
      <w:r>
        <w:rPr>
          <w:rStyle w:val="david-h1"/>
          <w:rFonts w:cs="Arial" w:ascii="Arial" w:hAnsi="Arial"/>
        </w:rPr>
        <w:t>144</w:t>
      </w:r>
      <w:r>
        <w:rPr>
          <w:rStyle w:val="david-h1"/>
          <w:rFonts w:cs="Arial" w:ascii="Arial" w:hAnsi="Arial"/>
          <w:rtl w:val="true"/>
        </w:rPr>
        <w:t>(</w:t>
      </w:r>
      <w:r>
        <w:rPr>
          <w:rStyle w:val="david-h1"/>
          <w:rFonts w:ascii="Arial" w:hAnsi="Arial" w:cs="Arial"/>
          <w:rtl w:val="true"/>
        </w:rPr>
        <w:t>א</w:t>
      </w:r>
      <w:r>
        <w:rPr>
          <w:rStyle w:val="david-h1"/>
          <w:rFonts w:cs="Arial" w:ascii="Arial" w:hAnsi="Arial"/>
          <w:rtl w:val="true"/>
        </w:rPr>
        <w:t xml:space="preserve">) </w:t>
      </w:r>
      <w:r>
        <w:rPr>
          <w:rStyle w:val="david-h1"/>
          <w:rFonts w:ascii="Arial" w:hAnsi="Arial" w:cs="Arial"/>
          <w:rtl w:val="true"/>
        </w:rPr>
        <w:t xml:space="preserve">ונאשם </w:t>
      </w:r>
      <w:r>
        <w:rPr>
          <w:rStyle w:val="david-h1"/>
          <w:rFonts w:cs="Arial" w:ascii="Arial" w:hAnsi="Arial"/>
        </w:rPr>
        <w:t>2</w:t>
      </w:r>
      <w:r>
        <w:rPr>
          <w:rStyle w:val="david-h1"/>
          <w:rFonts w:cs="Arial" w:ascii="Arial" w:hAnsi="Arial"/>
          <w:rtl w:val="true"/>
        </w:rPr>
        <w:t xml:space="preserve"> </w:t>
      </w:r>
      <w:r>
        <w:rPr>
          <w:rStyle w:val="david-h1"/>
          <w:rFonts w:ascii="Arial" w:hAnsi="Arial" w:cs="Arial"/>
          <w:rtl w:val="true"/>
        </w:rPr>
        <w:t xml:space="preserve">הורשע בעבירה של החזקת סם לצריכה עצמית לפי סעיף </w:t>
      </w:r>
      <w:r>
        <w:rPr>
          <w:rStyle w:val="david-h1"/>
          <w:rFonts w:cs="Arial" w:ascii="Arial" w:hAnsi="Arial"/>
        </w:rPr>
        <w:t>7</w:t>
      </w:r>
      <w:r>
        <w:rPr>
          <w:rStyle w:val="david-h1"/>
          <w:rFonts w:cs="Arial" w:ascii="Arial" w:hAnsi="Arial"/>
          <w:rtl w:val="true"/>
        </w:rPr>
        <w:t>(</w:t>
      </w:r>
      <w:r>
        <w:rPr>
          <w:rStyle w:val="david-h1"/>
          <w:rFonts w:ascii="Arial" w:hAnsi="Arial" w:cs="Arial"/>
          <w:rtl w:val="true"/>
        </w:rPr>
        <w:t>א</w:t>
      </w:r>
      <w:r>
        <w:rPr>
          <w:rStyle w:val="david-h1"/>
          <w:rFonts w:cs="Arial" w:ascii="Arial" w:hAnsi="Arial"/>
          <w:rtl w:val="true"/>
        </w:rPr>
        <w:t>)+(</w:t>
      </w:r>
      <w:r>
        <w:rPr>
          <w:rStyle w:val="david-h1"/>
          <w:rFonts w:ascii="Arial" w:hAnsi="Arial" w:cs="Arial"/>
          <w:rtl w:val="true"/>
        </w:rPr>
        <w:t>ג</w:t>
      </w:r>
      <w:r>
        <w:rPr>
          <w:rStyle w:val="david-h1"/>
          <w:rFonts w:cs="Arial" w:ascii="Arial" w:hAnsi="Arial"/>
          <w:rtl w:val="true"/>
        </w:rPr>
        <w:t xml:space="preserve">) </w:t>
      </w:r>
      <w:r>
        <w:rPr>
          <w:rStyle w:val="david-h1"/>
          <w:rFonts w:ascii="Arial" w:hAnsi="Arial" w:cs="Arial"/>
          <w:rtl w:val="true"/>
        </w:rPr>
        <w:t>ל</w:t>
      </w:r>
      <w:hyperlink r:id="rId5">
        <w:r>
          <w:rPr>
            <w:rStyle w:val="Hyperlink"/>
            <w:rFonts w:ascii="Arial" w:hAnsi="Arial" w:cs="Arial"/>
            <w:rtl w:val="true"/>
          </w:rPr>
          <w:t>פקודת הסמים המסוכנים</w:t>
        </w:r>
      </w:hyperlink>
      <w:r>
        <w:rPr>
          <w:rStyle w:val="david-h1"/>
          <w:rFonts w:ascii="Arial" w:hAnsi="Arial" w:cs="Arial"/>
          <w:rtl w:val="true"/>
        </w:rPr>
        <w:t xml:space="preserve"> </w:t>
      </w:r>
      <w:r>
        <w:rPr>
          <w:rStyle w:val="david-h1"/>
          <w:rFonts w:cs="Arial" w:ascii="Arial" w:hAnsi="Arial"/>
          <w:rtl w:val="true"/>
        </w:rPr>
        <w:t>[</w:t>
      </w:r>
      <w:r>
        <w:rPr>
          <w:rStyle w:val="david-h1"/>
          <w:rFonts w:ascii="Arial" w:hAnsi="Arial" w:cs="Arial"/>
          <w:rtl w:val="true"/>
        </w:rPr>
        <w:t>נוסח חדש</w:t>
      </w:r>
      <w:r>
        <w:rPr>
          <w:rStyle w:val="david-h1"/>
          <w:rFonts w:cs="Arial" w:ascii="Arial" w:hAnsi="Arial"/>
          <w:rtl w:val="true"/>
        </w:rPr>
        <w:t xml:space="preserve">], </w:t>
      </w:r>
      <w:r>
        <w:rPr>
          <w:rStyle w:val="david-h1"/>
          <w:rFonts w:ascii="Arial" w:hAnsi="Arial" w:cs="Arial"/>
          <w:rtl w:val="true"/>
        </w:rPr>
        <w:t>התשל</w:t>
      </w:r>
      <w:r>
        <w:rPr>
          <w:rStyle w:val="david-h1"/>
          <w:rFonts w:cs="Arial" w:ascii="Arial" w:hAnsi="Arial"/>
          <w:rtl w:val="true"/>
        </w:rPr>
        <w:t>"</w:t>
      </w:r>
      <w:r>
        <w:rPr>
          <w:rStyle w:val="david-h1"/>
          <w:rFonts w:ascii="Arial" w:hAnsi="Arial" w:cs="Arial"/>
          <w:rtl w:val="true"/>
        </w:rPr>
        <w:t>ג</w:t>
      </w:r>
      <w:r>
        <w:rPr>
          <w:rStyle w:val="david-h1"/>
          <w:rFonts w:cs="Arial" w:ascii="Arial" w:hAnsi="Arial"/>
          <w:rtl w:val="true"/>
        </w:rPr>
        <w:t xml:space="preserve">- </w:t>
      </w:r>
      <w:r>
        <w:rPr>
          <w:rStyle w:val="david-h1"/>
          <w:rFonts w:cs="Arial" w:ascii="Arial" w:hAnsi="Arial"/>
        </w:rPr>
        <w:t>1973</w:t>
      </w:r>
      <w:r>
        <w:rPr>
          <w:rStyle w:val="david-h1"/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הסדר הטיעון כלל הסדר עונשי לפיו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עתרה המאשימה להשית על כל אחד מהנאשמים עונש מאסר של </w:t>
      </w:r>
      <w:r>
        <w:rPr>
          <w:rFonts w:cs="Arial" w:ascii="Arial" w:hAnsi="Arial"/>
        </w:rPr>
        <w:t>75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והסנגור טען לעונש באופן חופשי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הוסכם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יוטל על הנאשמים מאסר מותנה 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הפקדת סך </w:t>
      </w:r>
      <w:r>
        <w:rPr>
          <w:rFonts w:cs="Arial" w:ascii="Arial" w:hAnsi="Arial"/>
        </w:rPr>
        <w:t>15,000₪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לכל 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כפיצוי למתלוננים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בקופת 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הפיצוי הופקד טרם הטיעונים לעונש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2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40"/>
        <w:ind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כתב האישום המתוקן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עובדות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7.3.10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20:40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נסע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במונית בכפר סבא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נהוגה על ידי חיים בכר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בכר</w:t>
      </w:r>
      <w:r>
        <w:rPr>
          <w:rFonts w:cs="Arial" w:ascii="Arial" w:hAnsi="Arial"/>
          <w:rtl w:val="true"/>
        </w:rPr>
        <w:t xml:space="preserve">").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ביקש להגיע לשער אפרים בתואנת שווא כי עליו לאסוף את חברתו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ביקש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מבכר לבצע שיחת טלפון ממכשירו הנייד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ובסיומה הודיע כי עליו לאסוף את חברתו מטייבה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בהגיעם לטייבה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ירד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מהמונית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בטענה כי הוא הולך לקרוא לחברתו ולהביא כסף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משעזב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 למונית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שהזדהה בכזב כאחי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כעבור דקות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וביקש מבכר לבצע שיחה נוספת מהטלפון הנייד שלו לחברתו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בסמוך לכך הגיע למונית אחר שזהותו אינה ידועה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 אז טען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רעש המנוע של המונית מפריע לשכנים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כיבה אותו והוציא את מפתחות הרכב מן המפסק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בשלב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האחר פתח את דלת הנהג והצמיד סכין מטבח לגרונו של בכר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אחז במוט וביחד איימו עליו השניים כי אם לא ייתן להם את הכסף שברשותו ידקרו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מסר להם בכר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800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שהיו בקופתו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נטל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מהמונית שני מכשירי </w:t>
      </w:r>
      <w:r>
        <w:rPr>
          <w:rFonts w:cs="Arial" w:ascii="Arial" w:hAnsi="Arial"/>
        </w:rPr>
        <w:t>GPS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והאחר לקח מתא המטען את תיקו של בכר וכן מעיל אופנוע בשווי של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החזיר לבכר את מפתחות המונית והשלושה איימו עליו בצעקות כי אם יתלונן יעקבו אחריו ויפגעו בו ובמשפחתו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בכר ביקש מהשלושה כי ישיבו לו את כספו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אז הצמיד האחר בשנית את הסכין לגרונו והשלושה שבו על האיום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לבל יעז להתלונן במשטרה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עובדות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8.3.10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22:45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עלה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למונית בקניון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שבעת הכוכבים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בהרצליה בה נהג המתלונן אבירם צדוק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צדוק</w:t>
      </w:r>
      <w:r>
        <w:rPr>
          <w:rFonts w:cs="Arial" w:ascii="Arial" w:hAnsi="Arial"/>
          <w:rtl w:val="true"/>
        </w:rPr>
        <w:t xml:space="preserve">"). </w:t>
      </w:r>
      <w:r>
        <w:rPr>
          <w:rFonts w:ascii="Arial" w:hAnsi="Arial" w:cs="Arial"/>
          <w:rtl w:val="true"/>
        </w:rPr>
        <w:t>אף הפעם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ביקש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להגיע לטירה בתואנה כי עליו לאסוף את חברתו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אמור לאספה מטייבה אך בשל חששם של נהגי מוניות להיכנס לטייבה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לנסוע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לטירה 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שינה את יעדו לטייבה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עם הגיעם לטייבה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פתחו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והאחר את דלת המונית ונאשם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נמלט מהמקום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השניים החלו להכות בצדוק באמצעות בעיטות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אגרופים ומקל בו אחז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בד בבד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הצמיד האחר סכין מטבח לגרונו של צדוק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צעק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איפה הכסף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ואיים להרוג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כעבור דקות ספורות שב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למונית והצטרף לתקיפה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 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תרו השלושה אחר רכוש בעל ערך ונטלו מהמונית מכשיר </w:t>
      </w:r>
      <w:r>
        <w:rPr>
          <w:rFonts w:cs="Arial" w:ascii="Arial" w:hAnsi="Arial"/>
        </w:rPr>
        <w:t>GPS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מפתחות של רכבים אחרים ושני מכשירי טלפון ניידים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השלושה ניסו לקחת מצדוק את ארנקו תוך שהם מכים אותו ומחטטים בכיסי מכנסיו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הם המשיכו להפליא בו מכותיהם באמצעות בעיטות ומוט עץ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צבעו את פניו באמצעות טוש שחור וקשקשו על דלתות המונית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כלשהו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הוציא מי מהנאשמים את מפתחות המונית מהמפסק והנאשמים ביחד עם האחר נמלטו מהמקום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כתוצאה מהמתואר נגרמו לצדוק מכות יבשות וחתכים בידו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עובדות האישום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11.3.10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החזיק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במחסן לחלקי חילוף שבבעלות אביו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מסוג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נותב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שני כדורים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רגיל 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מסוג </w:t>
      </w:r>
      <w:r>
        <w:rPr>
          <w:rFonts w:cs="Arial" w:ascii="Arial" w:hAnsi="Arial"/>
        </w:rPr>
        <w:t>7.62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כשהם מוסלקים בתוך גרב המוטמנת בתוך דלת של אחד מכלי הרכב שהיו במקום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עובדות האישום הרביעי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11.3.10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החזיק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בתוך צמיג רכב שנמצא בגרם המדרגות בביתו בטייבה סם מסוכן מסוג חשיש במשקל </w:t>
      </w:r>
      <w:r>
        <w:rPr>
          <w:rFonts w:cs="Arial" w:ascii="Arial" w:hAnsi="Arial"/>
        </w:rPr>
        <w:t>1.71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יסוד עובדות אלו הורשעו הנאשמים בעבירות המפורטות בפתח הדברים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כמצוות המחוקק ובשל גילם הצעיר של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הוגשו תסקירי שרות מבחן אודותיהם</w:t>
      </w:r>
      <w:r>
        <w:rPr>
          <w:rFonts w:cs="Arial" w:ascii="Arial" w:hAnsi="Arial"/>
          <w:rtl w:val="true"/>
        </w:rPr>
        <w:t>.</w:t>
      </w:r>
      <w:r>
        <w:br w:type="page"/>
      </w:r>
    </w:p>
    <w:p>
      <w:pPr>
        <w:pStyle w:val="Normal"/>
        <w:spacing w:lineRule="auto" w:line="360" w:before="0" w:after="240"/>
        <w:ind w:firstLine="694" w:start="26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תסקירי שירות מבחן</w:t>
      </w:r>
    </w:p>
    <w:p>
      <w:pPr>
        <w:pStyle w:val="Normal"/>
        <w:spacing w:lineRule="auto" w:line="360" w:before="0" w:after="240"/>
        <w:ind w:firstLine="694" w:start="26" w:end="0"/>
        <w:jc w:val="both"/>
        <w:rPr>
          <w:rFonts w:ascii="Arial" w:hAnsi="Arial" w:cs="Arial"/>
          <w:b/>
          <w:bCs/>
          <w:u w:val="single"/>
        </w:rPr>
      </w:pPr>
      <w:r>
        <w:rPr>
          <w:rFonts w:eastAsia="Arial"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u w:val="single"/>
        </w:rPr>
        <w:t>1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כעולה מתסקיר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אסלאם עאזם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תושב טייבה מאורס מזה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בן למשפחה נורמטיבית המונה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נפשות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אביו בעל מוסך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אמו עקרת 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לדברי הנאשם 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לימוד בתיכון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עמל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במגמת מכונאות רכב ומאז עובד אצל אביו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שוחרר למעצר בית ביום </w:t>
      </w:r>
      <w:r>
        <w:rPr>
          <w:rFonts w:cs="Arial" w:ascii="Arial" w:hAnsi="Arial"/>
        </w:rPr>
        <w:t>26.4.10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וביום </w:t>
      </w:r>
      <w:r>
        <w:rPr>
          <w:rFonts w:cs="Arial" w:ascii="Arial" w:hAnsi="Arial"/>
        </w:rPr>
        <w:t>15.7.10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החל לצאת לעבודה אצל אביו והועמד בפיקוח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מפגישה עם אבי הנאשם 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האב רואה בחומרה את מעורבות בנו בעבירות וכי זו הסתבכות חריגה בחייו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עד אותו שלב היו נורמטיביים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במסגרות החינוך והתעסוקה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שולב בקבוצת עצורי 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לא התמיד להגיע למפגשים ועל כן השתתפותו הופסקה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שרות המבחן התרשם כי הנאשם מצמצם מאחריותו לעבירות ומטשטש התנהגותו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הסביר את הסתבכותו בפלילים על רקע גילו הצעיר והיגררות אחר שותפיו לעבירות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למרות שהנאשם השכיל להבין את חומרת הפגיעה שפגע במתלוננים ואף לגלות כלפיהם אמפתיה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התקשה לבחון באורח מעמיק את נסיבות מעורבותו בעבירות ושלל בעייתיות בתפקודו המצריכה עזרה מקצועית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 מצעיר העסוק בגיבוש זהותו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נוכח תפיסתו העצמית כאדם חיובי מתקשה להבין את הפער בין תפקודו בעבר לבין מעורבותו בעבירות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שירות המבחן זיהה חלקים תוקפניים ואימפולסיביים בהתנהגות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המתחזקים בעקבות מעורבות חברתית בעייתית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ההתרשמות היא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מביע נכונות מילולית בלבד לטיפול לצורך קבלת רווח משני בהליך המשפטי והינו חסר מודעות לבעייתו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ההערכה היא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בהיעדר טיפול קיים סיכון להישנות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נמנע שירות המבחן מהמלצה עונשית או טיפולית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הגם שהדגיש כי במידה וישלח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אזי יש ליתן משקל לגילו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לעברו הנקי ולסיכון הקיים בהפנמת ערכים עברייניים בכלא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start="2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40"/>
        <w:ind w:firstLine="694" w:start="26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u w:val="single"/>
        </w:rPr>
        <w:t>2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גינאן עאזם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רווק כבן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תושב טייבה אף הוא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בן למשפחה המונה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נפשות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אביו אינו עובד ומתקיים מקצבת נכות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אמו עקרת 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עם בגרות חלקית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למד כחודשיים טכנאות מחשבים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בית ברל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טרם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עבד כחודשיים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בורגר קינג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כקופאי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הביע אכזבה מעצמו לאור ציפיותיו להתקדמות מקצועית וכלכלית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מתכנן להשתלב בתחום המחשבים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שוחרר למעצר בית ביום </w:t>
      </w:r>
      <w:r>
        <w:rPr>
          <w:rFonts w:cs="Arial" w:ascii="Arial" w:hAnsi="Arial"/>
        </w:rPr>
        <w:t>26.4.10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וביום </w:t>
      </w:r>
      <w:r>
        <w:rPr>
          <w:rFonts w:cs="Arial" w:ascii="Arial" w:hAnsi="Arial"/>
        </w:rPr>
        <w:t>1.12.10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יצא לעבוד במוסך שבבעלות דודו והועמד בפיקוח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התקשה לשתף את שרות המבחן במידע אודות משפחתו ומיעט לחשוף פרטים אודותיו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שלילת קיומה של בעייתיות וצורך בסיוע טיפולי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השליך את האחריות לביצוע העבירות על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אחריו נגרר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הסמים שנתפסו בחזקתו אינם שייכים לו וכי הוא הודה בהחזקתם אך בשל העובדה שנתפסו בבית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הוא משתמש בסמים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ניתן היה לאשש טענתו באמצעות בדיקות שתן מאחר ואין ברשותו תעודת זהות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לדבריו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התקשה להתייחס לחומרת העבירות ולבחון את כשליו ואת השלכות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שלל מעורבות והתנהגות שולית במהלך 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התמקד במצוקתו והביע חשש ממפגש עם אוכלוסייה עבריינית בכלא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שירות המבחן הטעים כי בהעדר שיתוף פעולה מלא מטעם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היה לעמוד על התנהגותו ונסיבות מעורבותו בעבירות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נמנע שירות המבחן מהמלצה טיפולית או עונשית אף בעניינו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40"/>
        <w:ind w:firstLine="694" w:start="26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הצדדים לעונש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נועה ארזי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הטעימה את חומרתם של מעשי השוד בהם הורשעו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המדובר במעשים שבוצעו בתעוזה רבה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תוכננו בקפידה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וכללו תיאום בין הנאשמים לאחר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הצטיידו הנאשמים מראש בכלי נשק קר לצורך איומים על המתלוננים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באירוע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הכו את המתלונן באמצעות מוט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עמדה על הטראומה הנפשית הקשה שנגרמה למתלוננים והפנתה להצהרות שהוגשו מטעמם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המתלונן בכר תיאר את השינוי הדרמתי בחייו עקב אירוע השוד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גרם לו לחוש מושפל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כבודו נרמס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סובל מזיכרונות קשים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סיוטים וחרדות ומתקשה לתפקד בעבודתו כנהג מונית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בכר ביקש למצות את הדין עם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המתלונן צדוק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לאחר המקרה הוא הסתגר בביתו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סבל מנדודי שינה ומסיוטים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עקב חרדותיו שמא יישנו מקרי שוד על ידי נוסעים במוניתו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הפסיק צדוק את עבודתו כנהג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הטעים כי האירוע טבע בו את חותמו לעד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התובעת עמדה על הרכוש הרב והיקר שגזלו הנאשמים מקורבנותיהם 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עמדתו החריגה של שרות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נמנע מלתת המלצה טיפולית לגביהם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גילם הצעיר והעדר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ביחס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הדגישה התובעת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שרות המבחן התרשם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הינו בעל חלקים תוקפניים ואימפולסיביים וקיים סיכון להישנות העבירות על ידו בעתיד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ציינה את עברם הנקי של הנאשמים והחיסכון בזמן שיפוטי ובצורך להעיד את המתלוננים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לבסוף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הדגישה התובעת את הצורך להגן על ציבור נהגי המוניות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המהווה טרף קל לביצוע מעשי 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בהינתן העובדה כי עבודתם מחייבת להעלות כל אדם שחפץ בכך למונית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בהתחשב בחומרת העבירות ותכיפותן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להשית על הנאשמים את מלוא תקופת המאסר לה עתרה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 </w:t>
      </w:r>
      <w:r>
        <w:rPr>
          <w:rFonts w:cs="Arial" w:ascii="Arial" w:hAnsi="Arial"/>
        </w:rPr>
        <w:t>75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וכן מאסר על תנאי ופיצוי כמוסכם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איהאב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הטעים את גילם הצעיר של הנאשמים וטען כי אין מדובר אלא במעשים שבוצעו על רקע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משובת נעורים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ולא מתוך מניעים תוקפניים ואלימים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ולראיה עברם הנקי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טען כי האלימות והאיומים שנקטו הנאשמים כלפי קורבנותיהם מצויים במדרג הנמוך של החומרה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הנאשמים הודו בעבירות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נוטלים אחריות על מעשיהם וחסכו את העדת המתלוננים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ביקש להתחשב בסכום הפיצוי הנכבד בסך </w:t>
      </w:r>
      <w:r>
        <w:rPr>
          <w:rFonts w:cs="Arial" w:ascii="Arial" w:hAnsi="Arial"/>
        </w:rPr>
        <w:t>15,000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שהופקד על ידי כל אחד מהנאשמים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בהתייחסו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ציין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הוא התארס זה לא מכבר ובאשר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הוא עתיד להתארס בקרוב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כלל הנסיבות שפירט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 הסנגור להסתפק בעונש מתון ככל האפשר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הנאשמים עצמם פנו לבית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הצרו על מעשיהם וביקשו לפתוח דף חדש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firstLine="694" w:start="26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וענישה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מעשי השוד שביצעו הנאשמים חמורים ומכוערים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השניים תכננו את המעשים בקפידה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פרטיהם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הצטיידו מראש בכלי נשק קר ותיאמו ביניהם את חלוקת התפקידים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עלה למוניות וכיוון את קורבנותיו ליעדי השוד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שם הצטרפו אליו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והאחר והשלושה יחדיו הילכו אימים על המתלוננים ובאמצעות 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גזלו את כספי הקורבנות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באירוע השני הגדילו לעשות הנאשמים כאשר אף תקפו את קורבנם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מדובר במעשים המצויים ברף התחתון של החומרה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שטען הסנגור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נהגו במתלוננים בבריונות ובאלימות קשה והכול לשם בצע כסף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באישום הראשון איימו על חיי המתלונן באמצעות סכין ומוט ובאישום השני הפליאו מכותיהם במתלונן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אגרופים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בעיטות ומוט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הם אף ביזו והשפילו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צבעו באמצעות טוש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פניו ואת המונית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מצבם הנפשי הקשה של המתלוננים בעקבות מעשי השוד מצביע על החומרה שבמעשי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חייו של צדוק השתנו ללא הכר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חדל מעבודתו כנהג מונית בשל החרדות שליוו אותו וחברו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בכר אומנם שב לעבודתו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אף הוא מתלונן על קשיים נלווים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סיוטים ופחדים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מאז קרות השוד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צודקת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בטענתה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חומרה יתרה יש לייחס לעובדה שמדובר במעשי שוד שבוצעו כלפי נהגי מוניות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החשופים לגחמות נוסעים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תמימים לכאורה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ומנצלים את ציבור הנהגים והיותם טרף קל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יכולת להתגונן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בתי המשפט חייבים לסייע בהגנה על ציבור נהגי המוניות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השתת עונשים כבדים ומרתיעים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למען יראו וייראו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ראה דברי בית המשפט העליון ב</w:t>
      </w:r>
      <w:r>
        <w:rPr>
          <w:rFonts w:ascii="Arial" w:hAnsi="Arial" w:cs="Arial"/>
          <w:color w:val="000000"/>
          <w:rtl w:val="true"/>
        </w:rPr>
        <w:t>ע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פ </w:t>
      </w:r>
      <w:r>
        <w:rPr>
          <w:rFonts w:cs="Arial" w:ascii="Arial" w:hAnsi="Arial"/>
          <w:color w:val="000000"/>
        </w:rPr>
        <w:t>8490/04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עבידאת נ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4463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before="0" w:after="240"/>
        <w:ind w:start="1286" w:end="540"/>
        <w:jc w:val="both"/>
        <w:rPr/>
      </w:pP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אכן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על רקע האלימות הקשה אשר פקדה את החברה בישראל בעת האחרונה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חובה היא המוטלת על בתי</w:t>
      </w:r>
      <w:r>
        <w:rPr>
          <w:rFonts w:cs="Arial" w:ascii="Arial" w:hAnsi="Arial"/>
          <w:b/>
          <w:bCs/>
          <w:sz w:val="22"/>
          <w:szCs w:val="22"/>
          <w:rtl w:val="true"/>
        </w:rPr>
        <w:t>-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המשפט להעלות את תרומתם במלחמת החורמה בפשיעה המופקרת הגוברת והולכת במקומותינו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תרומה זו יכולה שתבוא בראש ובראשונה על דרך הטלתם של עונשים ראויים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u w:val="single"/>
          <w:rtl w:val="true"/>
        </w:rPr>
        <w:t>עבירת השוד בעניינו</w:t>
      </w:r>
      <w:r>
        <w:rPr>
          <w:rFonts w:cs="Arial" w:ascii="Arial" w:hAnsi="Arial"/>
          <w:b/>
          <w:bCs/>
          <w:sz w:val="22"/>
          <w:szCs w:val="22"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u w:val="single"/>
          <w:rtl w:val="true"/>
        </w:rPr>
        <w:t>חומרה מיוחדת נודעת לה</w:t>
      </w:r>
      <w:r>
        <w:rPr>
          <w:rFonts w:cs="Arial" w:ascii="Arial" w:hAnsi="Arial"/>
          <w:b/>
          <w:bCs/>
          <w:sz w:val="22"/>
          <w:szCs w:val="22"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u w:val="single"/>
          <w:rtl w:val="true"/>
        </w:rPr>
        <w:t>הנשדד</w:t>
      </w:r>
      <w:r>
        <w:rPr>
          <w:rFonts w:cs="Arial" w:ascii="Arial" w:hAnsi="Arial"/>
          <w:b/>
          <w:bCs/>
          <w:sz w:val="22"/>
          <w:szCs w:val="22"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u w:val="single"/>
          <w:rtl w:val="true"/>
        </w:rPr>
        <w:t>המתלונן</w:t>
      </w:r>
      <w:r>
        <w:rPr>
          <w:rFonts w:cs="Arial" w:ascii="Arial" w:hAnsi="Arial"/>
          <w:b/>
          <w:bCs/>
          <w:sz w:val="22"/>
          <w:szCs w:val="22"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u w:val="single"/>
          <w:rtl w:val="true"/>
        </w:rPr>
        <w:t>הוא נהג מונית והסעתו של המערער במונית היתה בשעות לילה</w:t>
      </w:r>
      <w:r>
        <w:rPr>
          <w:rFonts w:cs="Arial" w:ascii="Arial" w:hAnsi="Arial"/>
          <w:b/>
          <w:bCs/>
          <w:sz w:val="22"/>
          <w:szCs w:val="22"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u w:val="single"/>
          <w:rtl w:val="true"/>
        </w:rPr>
        <w:t>נהגי מוניות המשרתים את הציבור זכאים להגנת הציבור והרי אין הם יכולים להגן על עצמם כנגד שלושה אנשים רעים המבקשים לשדוד אותם</w:t>
      </w:r>
      <w:r>
        <w:rPr>
          <w:rFonts w:cs="Arial" w:ascii="Arial" w:hAnsi="Arial"/>
          <w:b/>
          <w:bCs/>
          <w:sz w:val="22"/>
          <w:szCs w:val="22"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u w:val="single"/>
          <w:rtl w:val="true"/>
        </w:rPr>
        <w:t>יתר</w:t>
      </w:r>
      <w:r>
        <w:rPr>
          <w:rFonts w:cs="Arial" w:ascii="Arial" w:hAnsi="Arial"/>
          <w:b/>
          <w:bCs/>
          <w:sz w:val="22"/>
          <w:szCs w:val="22"/>
          <w:u w:val="single"/>
          <w:rtl w:val="true"/>
        </w:rPr>
        <w:t>-</w:t>
      </w:r>
      <w:r>
        <w:rPr>
          <w:rFonts w:ascii="Arial" w:hAnsi="Arial" w:cs="Arial"/>
          <w:b/>
          <w:b/>
          <w:bCs/>
          <w:sz w:val="22"/>
          <w:sz w:val="22"/>
          <w:szCs w:val="22"/>
          <w:u w:val="single"/>
          <w:rtl w:val="true"/>
        </w:rPr>
        <w:t>על</w:t>
      </w:r>
      <w:r>
        <w:rPr>
          <w:rFonts w:cs="Arial" w:ascii="Arial" w:hAnsi="Arial"/>
          <w:b/>
          <w:bCs/>
          <w:sz w:val="22"/>
          <w:szCs w:val="22"/>
          <w:u w:val="single"/>
          <w:rtl w:val="true"/>
        </w:rPr>
        <w:t>-</w:t>
      </w:r>
      <w:r>
        <w:rPr>
          <w:rFonts w:ascii="Arial" w:hAnsi="Arial" w:cs="Arial"/>
          <w:b/>
          <w:b/>
          <w:bCs/>
          <w:sz w:val="22"/>
          <w:sz w:val="22"/>
          <w:szCs w:val="22"/>
          <w:u w:val="single"/>
          <w:rtl w:val="true"/>
        </w:rPr>
        <w:t>כן</w:t>
      </w:r>
      <w:r>
        <w:rPr>
          <w:rFonts w:cs="Arial" w:ascii="Arial" w:hAnsi="Arial"/>
          <w:b/>
          <w:bCs/>
          <w:sz w:val="22"/>
          <w:szCs w:val="22"/>
          <w:u w:val="single"/>
          <w:rtl w:val="true"/>
        </w:rPr>
        <w:t xml:space="preserve">: </w:t>
      </w:r>
      <w:r>
        <w:rPr>
          <w:rFonts w:ascii="Arial" w:hAnsi="Arial" w:cs="Arial"/>
          <w:b/>
          <w:b/>
          <w:bCs/>
          <w:sz w:val="22"/>
          <w:sz w:val="22"/>
          <w:szCs w:val="22"/>
          <w:u w:val="single"/>
          <w:rtl w:val="true"/>
        </w:rPr>
        <w:t>אם כך יימשכו הדברים ויילכו</w:t>
      </w:r>
      <w:r>
        <w:rPr>
          <w:rFonts w:cs="Arial" w:ascii="Arial" w:hAnsi="Arial"/>
          <w:b/>
          <w:bCs/>
          <w:sz w:val="22"/>
          <w:szCs w:val="22"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u w:val="single"/>
          <w:rtl w:val="true"/>
        </w:rPr>
        <w:t>יסרבו נהגי מוניות לעבוד בלילה ונמצא אף הציבור הרחב לוקה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" </w:t>
      </w:r>
      <w:r>
        <w:rPr>
          <w:rFonts w:cs="Arial" w:ascii="Arial" w:hAnsi="Arial"/>
          <w:sz w:val="22"/>
          <w:szCs w:val="22"/>
          <w:rtl w:val="true"/>
        </w:rPr>
        <w:t>(</w:t>
      </w:r>
      <w:r>
        <w:rPr>
          <w:rFonts w:ascii="Arial" w:hAnsi="Arial" w:cs="Arial"/>
          <w:sz w:val="22"/>
          <w:sz w:val="22"/>
          <w:szCs w:val="22"/>
          <w:rtl w:val="true"/>
        </w:rPr>
        <w:t>הדגש אינו במקור</w:t>
      </w:r>
      <w:r>
        <w:rPr>
          <w:rFonts w:cs="Arial" w:ascii="Arial" w:hAnsi="Arial"/>
          <w:sz w:val="22"/>
          <w:szCs w:val="22"/>
          <w:rtl w:val="true"/>
        </w:rPr>
        <w:t xml:space="preserve">- </w:t>
      </w:r>
      <w:r>
        <w:rPr>
          <w:rFonts w:ascii="Arial" w:hAnsi="Arial" w:cs="Arial"/>
          <w:sz w:val="22"/>
          <w:sz w:val="22"/>
          <w:szCs w:val="22"/>
          <w:rtl w:val="true"/>
        </w:rPr>
        <w:t>ו</w:t>
      </w:r>
      <w:r>
        <w:rPr>
          <w:rFonts w:cs="Arial" w:ascii="Arial" w:hAnsi="Arial"/>
          <w:sz w:val="22"/>
          <w:szCs w:val="22"/>
          <w:rtl w:val="true"/>
        </w:rPr>
        <w:t>.</w:t>
      </w:r>
      <w:r>
        <w:rPr>
          <w:rFonts w:ascii="Arial" w:hAnsi="Arial" w:cs="Arial"/>
          <w:sz w:val="22"/>
          <w:sz w:val="22"/>
          <w:szCs w:val="22"/>
          <w:rtl w:val="true"/>
        </w:rPr>
        <w:t>מ</w:t>
      </w:r>
      <w:r>
        <w:rPr>
          <w:rFonts w:cs="Arial" w:ascii="Arial" w:hAnsi="Arial"/>
          <w:sz w:val="22"/>
          <w:szCs w:val="22"/>
          <w:rtl w:val="true"/>
        </w:rPr>
        <w:t xml:space="preserve">). </w:t>
      </w:r>
    </w:p>
    <w:p>
      <w:pPr>
        <w:pStyle w:val="Normal"/>
        <w:spacing w:before="0" w:after="240"/>
        <w:ind w:start="1286" w:end="540"/>
        <w:jc w:val="both"/>
        <w:rPr/>
      </w:pPr>
      <w:r>
        <w:rPr>
          <w:rFonts w:cs="Arial" w:ascii="Arial" w:hAnsi="Arial"/>
          <w:sz w:val="22"/>
          <w:szCs w:val="22"/>
          <w:rtl w:val="true"/>
        </w:rPr>
        <w:t>(</w:t>
      </w:r>
      <w:r>
        <w:rPr>
          <w:rFonts w:ascii="Arial" w:hAnsi="Arial" w:cs="Arial"/>
          <w:sz w:val="22"/>
          <w:sz w:val="22"/>
          <w:szCs w:val="22"/>
          <w:rtl w:val="true"/>
        </w:rPr>
        <w:t>כמו כן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ר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hyperlink r:id="rId6">
        <w:r>
          <w:rPr>
            <w:rStyle w:val="Hyperlink"/>
            <w:rFonts w:ascii="Arial" w:hAnsi="Arial" w:cs="Arial"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Arial" w:ascii="Arial" w:hAnsi="Arial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Arial"/>
            <w:sz w:val="22"/>
            <w:sz w:val="22"/>
            <w:szCs w:val="22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22"/>
            <w:szCs w:val="22"/>
          </w:rPr>
          <w:t>1885/07</w:t>
        </w:r>
      </w:hyperlink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נאיף נ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מדינת ישראל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תק</w:t>
      </w:r>
      <w:r>
        <w:rPr>
          <w:rFonts w:cs="Arial" w:ascii="Arial" w:hAnsi="Arial"/>
          <w:sz w:val="22"/>
          <w:szCs w:val="22"/>
          <w:rtl w:val="true"/>
        </w:rPr>
        <w:t>-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על </w:t>
      </w:r>
      <w:r>
        <w:rPr>
          <w:rFonts w:cs="Arial" w:ascii="Arial" w:hAnsi="Arial"/>
          <w:sz w:val="22"/>
          <w:szCs w:val="22"/>
        </w:rPr>
        <w:t>2008</w:t>
      </w:r>
      <w:r>
        <w:rPr>
          <w:rFonts w:cs="Arial" w:ascii="Arial" w:hAnsi="Arial"/>
          <w:sz w:val="22"/>
          <w:szCs w:val="22"/>
          <w:rtl w:val="true"/>
        </w:rPr>
        <w:t>(</w:t>
      </w:r>
      <w:r>
        <w:rPr>
          <w:rFonts w:cs="Arial" w:ascii="Arial" w:hAnsi="Arial"/>
          <w:sz w:val="22"/>
          <w:szCs w:val="22"/>
        </w:rPr>
        <w:t>3</w:t>
      </w:r>
      <w:r>
        <w:rPr>
          <w:rFonts w:cs="Arial" w:ascii="Arial" w:hAnsi="Arial"/>
          <w:sz w:val="22"/>
          <w:szCs w:val="22"/>
          <w:rtl w:val="true"/>
        </w:rPr>
        <w:t xml:space="preserve">), </w:t>
      </w:r>
      <w:r>
        <w:rPr>
          <w:rFonts w:ascii="Arial" w:hAnsi="Arial" w:cs="Arial"/>
          <w:sz w:val="22"/>
          <w:sz w:val="22"/>
          <w:szCs w:val="22"/>
          <w:rtl w:val="true"/>
        </w:rPr>
        <w:t>אליו הפנתה ב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>כ המאשימה</w:t>
      </w:r>
      <w:r>
        <w:rPr>
          <w:rFonts w:cs="Arial" w:ascii="Arial" w:hAnsi="Arial"/>
          <w:sz w:val="22"/>
          <w:szCs w:val="22"/>
          <w:rtl w:val="true"/>
        </w:rPr>
        <w:t>).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תסקירי שירות המבחן אינם מלמדים זכות על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הם  התקשו ליטול אחריות למעשיהם ומזערו חלקם בביצוע המעשים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הם אף שללו נזקקות טיפולית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דחו באורח בוטה את היד שהושטה להם לעזרה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בהעדר המלצה טיפולית מטעם שרות המבחן – יש להטיל על הנאשמים עונש שיהלום את חומרת מעשיהם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הנאשמים ביצעו עבירות הנלוות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האחד החזקת תחמושת והשני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סם לצריכה עצמית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על עבירות אלו הם נמנעו מליטול אחריות בפני שרות המבחן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לכאורה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קשה למצוא נקודות זכות</w:t>
      </w:r>
      <w:r>
        <w:rPr>
          <w:rFonts w:ascii="Arial" w:hAnsi="Arial" w:cs="Arial"/>
          <w:rtl w:val="true"/>
        </w:rPr>
        <w:t xml:space="preserve"> רבות</w:t>
      </w:r>
      <w:r>
        <w:rPr>
          <w:rFonts w:ascii="Arial" w:hAnsi="Arial" w:cs="Arial"/>
          <w:rtl w:val="true"/>
        </w:rPr>
        <w:t xml:space="preserve"> לטובת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כמצוות ההלכה הפסוקה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לעולם יש לשקול את נסיבותיהם אישיות בשקילת מידת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ביחס להודאתם בביצוע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החיסכון בזמן 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 העדת המתלוננים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המשתמע מכך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ליתן משקל ראוי לגילם הצעיר של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בשעת ביצוע העבירות עברו אך במעט את סף הקטינות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לעברם הנקי</w:t>
      </w:r>
      <w:r>
        <w:rPr>
          <w:rFonts w:ascii="Arial" w:hAnsi="Arial" w:cs="Arial"/>
          <w:rtl w:val="true"/>
        </w:rPr>
        <w:t xml:space="preserve"> 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לעובדה שמדובר במאסרם הראשון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 להתחשב בפיצוי שהעמידו השניים לזכות המתלוננים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אל מול שיקולים אלו ניצב האינטרס הציבורי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המבטא את חומרת העבירות שביצעו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הנסיבות החמורות בהן בוצעו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העובדה שמדובר בשני מעשים שבוצעו בהתאם ל</w:t>
      </w:r>
      <w:r>
        <w:rPr>
          <w:rFonts w:ascii="Arial" w:hAnsi="Arial" w:cs="Arial"/>
          <w:rtl w:val="true"/>
        </w:rPr>
        <w:t>שיטה שפיתחו הנאשמים</w:t>
      </w:r>
      <w:r>
        <w:rPr>
          <w:rFonts w:ascii="Arial" w:hAnsi="Arial" w:cs="Arial"/>
          <w:rtl w:val="true"/>
        </w:rPr>
        <w:t xml:space="preserve"> 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</w:t>
      </w:r>
      <w:r>
        <w:rPr>
          <w:rFonts w:ascii="Arial" w:hAnsi="Arial" w:cs="Arial"/>
          <w:rtl w:val="true"/>
        </w:rPr>
        <w:t>אין מדובר בצעירים שפעלו מתוך מצוקה או קריאה לעזרה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אלא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 xml:space="preserve">חרו לבצע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עבירות להנאתם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התאכזרות בקורבנותיהם ושלילת  כספיהם אשר הרוויחו לפרנסתם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בעמל רב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נסיבותיהם האישיות של הנאשמים נסוגות אפוא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במידה רבה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מפני האינטרס הציבורי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הצורך בענישה חמורה ומרתיעה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גמול הולם למעשיהם מטה את הכף לחומרא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692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גוזרת על הנאשמים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/>
        <w:ind w:hanging="357" w:start="1797" w:end="0"/>
        <w:jc w:val="both"/>
        <w:rPr>
          <w:rStyle w:val="david-h1"/>
          <w:rFonts w:ascii="Arial" w:hAnsi="Arial" w:cs="Arial"/>
        </w:rPr>
      </w:pPr>
      <w:r>
        <w:rPr>
          <w:rFonts w:ascii="Arial" w:hAnsi="Arial" w:cs="Arial"/>
          <w:rtl w:val="true"/>
        </w:rPr>
        <w:t>כל אחד מהנאשמים י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 xml:space="preserve">שא בעונש מאסר בן </w:t>
      </w:r>
      <w:r>
        <w:rPr>
          <w:rFonts w:cs="Arial" w:ascii="Arial" w:hAnsi="Arial"/>
        </w:rPr>
        <w:t>66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בניכוי ימי מעצרו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57" w:start="1797" w:end="0"/>
        <w:jc w:val="both"/>
        <w:rPr>
          <w:rStyle w:val="david-h1"/>
          <w:rFonts w:ascii="Arial" w:hAnsi="Arial" w:cs="Arial"/>
        </w:rPr>
      </w:pPr>
      <w:r>
        <w:rPr>
          <w:rStyle w:val="david-h1"/>
          <w:rFonts w:ascii="Arial" w:hAnsi="Arial" w:cs="Arial"/>
          <w:rtl w:val="true"/>
        </w:rPr>
        <w:t>כל אחד מהנאשמים י</w:t>
      </w:r>
      <w:r>
        <w:rPr>
          <w:rStyle w:val="david-h1"/>
          <w:rFonts w:ascii="Arial" w:hAnsi="Arial" w:cs="Arial"/>
          <w:rtl w:val="true"/>
        </w:rPr>
        <w:t>י</w:t>
      </w:r>
      <w:r>
        <w:rPr>
          <w:rStyle w:val="david-h1"/>
          <w:rFonts w:ascii="Arial" w:hAnsi="Arial" w:cs="Arial"/>
          <w:rtl w:val="true"/>
        </w:rPr>
        <w:t xml:space="preserve">שא במאסר על תנאי בן </w:t>
      </w:r>
      <w:r>
        <w:rPr>
          <w:rStyle w:val="david-h1"/>
          <w:rFonts w:cs="Arial" w:ascii="Arial" w:hAnsi="Arial"/>
        </w:rPr>
        <w:t>12</w:t>
      </w:r>
      <w:r>
        <w:rPr>
          <w:rStyle w:val="david-h1"/>
          <w:rFonts w:cs="Arial" w:ascii="Arial" w:hAnsi="Arial"/>
          <w:rtl w:val="true"/>
        </w:rPr>
        <w:t xml:space="preserve"> </w:t>
      </w:r>
      <w:r>
        <w:rPr>
          <w:rStyle w:val="david-h1"/>
          <w:rFonts w:ascii="Arial" w:hAnsi="Arial" w:cs="Arial"/>
          <w:rtl w:val="true"/>
        </w:rPr>
        <w:t xml:space="preserve">חודשים משך </w:t>
      </w:r>
      <w:r>
        <w:rPr>
          <w:rStyle w:val="david-h1"/>
          <w:rFonts w:cs="Arial" w:ascii="Arial" w:hAnsi="Arial"/>
        </w:rPr>
        <w:t>3</w:t>
      </w:r>
      <w:r>
        <w:rPr>
          <w:rStyle w:val="david-h1"/>
          <w:rFonts w:cs="Arial" w:ascii="Arial" w:hAnsi="Arial"/>
          <w:rtl w:val="true"/>
        </w:rPr>
        <w:t xml:space="preserve"> </w:t>
      </w:r>
      <w:r>
        <w:rPr>
          <w:rStyle w:val="david-h1"/>
          <w:rFonts w:ascii="Arial" w:hAnsi="Arial" w:cs="Arial"/>
          <w:rtl w:val="true"/>
        </w:rPr>
        <w:t>שנים  שלא יבצע עבירה של אלימות או רכוש מסוג פשע</w:t>
      </w:r>
      <w:r>
        <w:rPr>
          <w:rStyle w:val="david-h1"/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240"/>
        <w:ind w:hanging="357" w:start="1797" w:end="0"/>
        <w:jc w:val="both"/>
        <w:rPr/>
      </w:pPr>
      <w:r>
        <w:rPr>
          <w:rStyle w:val="david-h1"/>
          <w:rFonts w:ascii="Arial" w:hAnsi="Arial" w:cs="Arial"/>
          <w:rtl w:val="true"/>
        </w:rPr>
        <w:t xml:space="preserve">כל אחד מהנאשמים יפצה את המתלוננים בסך </w:t>
      </w:r>
      <w:r>
        <w:rPr>
          <w:rStyle w:val="david-h1"/>
          <w:rFonts w:cs="Arial" w:ascii="Arial" w:hAnsi="Arial"/>
        </w:rPr>
        <w:t>15,000</w:t>
      </w:r>
      <w:r>
        <w:rPr>
          <w:rStyle w:val="david-h1"/>
          <w:rFonts w:cs="Arial" w:ascii="Arial" w:hAnsi="Arial"/>
          <w:rtl w:val="true"/>
        </w:rPr>
        <w:t xml:space="preserve"> ₪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אשר ינוכה מסכום הפיקדון בהליך המעצר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סכום הפיצוי יחולק באופן שווה בין המתלוננים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ורדה מרוז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5467831354678313</w:t>
      </w:r>
      <w:r>
        <w:rPr>
          <w:rFonts w:ascii="Arial" w:hAnsi="Arial" w:cs="Arial"/>
          <w:b/>
          <w:b/>
          <w:bCs/>
          <w:rtl w:val="true"/>
        </w:rPr>
        <w:t xml:space="preserve">זכות ערעור לבית משפט עליון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</w:t>
      </w:r>
      <w:r>
        <w:rPr>
          <w:rFonts w:cs="Arial" w:ascii="Arial" w:hAnsi="Arial"/>
          <w:b/>
          <w:bCs/>
          <w:rtl w:val="true"/>
        </w:rPr>
        <w:t>.</w:t>
      </w:r>
    </w:p>
    <w:tbl>
      <w:tblPr>
        <w:bidiVisual w:val="true"/>
        <w:tblW w:w="2769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</w:tblGrid>
      <w:tr>
        <w:trPr>
          <w:trHeight w:val="434" w:hRule="atLeast"/>
        </w:trPr>
        <w:tc>
          <w:tcPr>
            <w:tcW w:w="276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י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ג שבט תשע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06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פברואר </w:t>
            </w:r>
            <w:r>
              <w:rPr>
                <w:rFonts w:cs="Arial" w:ascii="Arial" w:hAnsi="Arial"/>
              </w:rPr>
              <w:t>2012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במעמד הצדדים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tl w:val="true"/>
              </w:rPr>
              <w:t xml:space="preserve">                   </w:t>
            </w:r>
          </w:p>
        </w:tc>
      </w:tr>
      <w:tr>
        <w:trPr>
          <w:trHeight w:val="267" w:hRule="atLeast"/>
        </w:trPr>
        <w:tc>
          <w:tcPr>
            <w:tcW w:w="2769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ורדה מרוז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43646-03-10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איסלאם עאזם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b w:val="false"/>
        <w:bCs w:val="false"/>
        <w:rFonts w:ascii="Arial" w:hAnsi="Arial" w:cs="Arial"/>
      </w:rPr>
    </w:lvl>
  </w:abstractNum>
  <w:abstractNum w:abstractNumId="2">
    <w:lvl w:ilvl="0">
      <w:numFmt w:val="bullet"/>
      <w:lvlText w:val=""/>
      <w:lvlJc w:val="end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Arial" w:hAnsi="Arial" w:cs="Arial"/>
      <w:b w:val="false"/>
      <w:bCs w:val="fals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david-h1">
    <w:name w:val="david-h1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4216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4216" TargetMode="External"/><Relationship Id="rId6" Type="http://schemas.openxmlformats.org/officeDocument/2006/relationships/hyperlink" Target="http://www.nevo.co.il/case/5797523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2016-01-14T09:01:00Z</dcterms:created>
  <dc:creator> </dc:creator>
  <dc:description/>
  <cp:keywords/>
  <dc:language>en-IL</dc:language>
  <cp:lastModifiedBy>run</cp:lastModifiedBy>
  <dcterms:modified xsi:type="dcterms:W3CDTF">2016-01-14T09:01:00Z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איסלאם עאזם;ג'ינן עאזם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ProcID=133;209&amp;PartA=8490&amp;PartC=04</vt:lpwstr>
  </property>
  <property fmtid="{D5CDD505-2E9C-101B-9397-08002B2CF9AE}" pid="9" name="CASESLISTTMP1">
    <vt:lpwstr>5797523</vt:lpwstr>
  </property>
  <property fmtid="{D5CDD505-2E9C-101B-9397-08002B2CF9AE}" pid="10" name="CITY">
    <vt:lpwstr>מרכז</vt:lpwstr>
  </property>
  <property fmtid="{D5CDD505-2E9C-101B-9397-08002B2CF9AE}" pid="11" name="DATE">
    <vt:lpwstr>20120206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ורדה מרוז</vt:lpwstr>
  </property>
  <property fmtid="{D5CDD505-2E9C-101B-9397-08002B2CF9AE}" pid="15" name="LAWLISTTMP1">
    <vt:lpwstr>70301</vt:lpwstr>
  </property>
  <property fmtid="{D5CDD505-2E9C-101B-9397-08002B2CF9AE}" pid="16" name="LAWLISTTMP2">
    <vt:lpwstr>4216</vt:lpwstr>
  </property>
  <property fmtid="{D5CDD505-2E9C-101B-9397-08002B2CF9AE}" pid="17" name="LAWYER">
    <vt:lpwstr>נועה ארזי;איהאב ג'לג'ולי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43646</vt:lpwstr>
  </property>
  <property fmtid="{D5CDD505-2E9C-101B-9397-08002B2CF9AE}" pid="24" name="NEWPARTB">
    <vt:lpwstr>03</vt:lpwstr>
  </property>
  <property fmtid="{D5CDD505-2E9C-101B-9397-08002B2CF9AE}" pid="25" name="NEWPARTC">
    <vt:lpwstr>10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390020120206</vt:lpwstr>
  </property>
  <property fmtid="{D5CDD505-2E9C-101B-9397-08002B2CF9AE}" pid="36" name="TYPE_N_DATE">
    <vt:lpwstr>39020120206</vt:lpwstr>
  </property>
  <property fmtid="{D5CDD505-2E9C-101B-9397-08002B2CF9AE}" pid="37" name="VOLUME">
    <vt:lpwstr/>
  </property>
  <property fmtid="{D5CDD505-2E9C-101B-9397-08002B2CF9AE}" pid="38" name="WORDNUMPAGES">
    <vt:lpwstr>9</vt:lpwstr>
  </property>
</Properties>
</file>