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3"/>
        <w:gridCol w:w="2628"/>
      </w:tblGrid>
      <w:tr>
        <w:trPr>
          <w:trHeight w:val="56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אברהם רובין</w:t>
            </w:r>
          </w:p>
          <w:p>
            <w:pPr>
              <w:pStyle w:val="Normal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8"/>
                <w:szCs w:val="28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6093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43752-01-19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דלאל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5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10"/>
        <w:gridCol w:w="5544"/>
      </w:tblGrid>
      <w:tr>
        <w:trPr>
          <w:trHeight w:val="423" w:hRule="atLeast"/>
        </w:trPr>
        <w:tc>
          <w:tcPr>
            <w:tcW w:w="301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4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8554" w:type="dxa"/>
            <w:gridSpan w:val="2"/>
            <w:tcBorders/>
          </w:tcPr>
          <w:p>
            <w:pPr>
              <w:pStyle w:val="Normal"/>
              <w:spacing w:lineRule="auto" w:line="36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301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4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חאזם דלאל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איומים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טבע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מאיומיו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55" w:hRule="atLeast"/>
        </w:trPr>
        <w:tc>
          <w:tcPr>
            <w:tcW w:w="8363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הרשעתו של הנאשם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הורשע על יסוד הודאתו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עבירה של נשיאה והובלת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סעיף </w:t>
      </w:r>
      <w:hyperlink r:id="rId10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עבירות של איומים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פי האמור במבוא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מתגורר בבית חנינא סמוך לבית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אחים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אשרף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איהאב וריבחי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הנאשם לבין חלק מבני משפחתו קיים סכסוך שטיבו אינו ידוע במדויק 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סכסוך זה נדרש הנאשם לעזוב את ביתו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31.12.18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הנאשם לבית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התפתח ביניהם ויכוח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במקום נכח גם אשרף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הוויכוח פנה אשרף לנאשם ושאל אותו האם הוא הגיע בשביל לעשות את עצמו גבר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החל הנאשם לקלל את אשרף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הוציא אביו של הנאשם את הנאשם מהבית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ירד לביתו ולאחר מספר רגעים חזר לעבר בית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אחמד שהיה במקום ניסה למנוע מן הנאשם להתקדם אל עבר בית האב בו שהו באותה עת האב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ובני  משפחה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ניסה להדוף את אחמד ולהתקרב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צועק לעבר בני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מקלל ועושה תנועות מגונות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לאיומי הנאשם כלפי בני הבית קרא איהאב לעבר הנאשם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אתה רוצה שירו בך הלילה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הלילה אני יורה בך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המשיך לצעוק עד שאחמד משך אותו בכוח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בהמשך לאירוע המתואר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רקע הסכסוך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אביו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2.1.19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בסביבות השעה </w:t>
      </w:r>
      <w:r>
        <w:rPr>
          <w:rFonts w:cs="David" w:ascii="David" w:hAnsi="David"/>
        </w:rPr>
        <w:t>10:30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לביתו של הנאשם ואמר לו כי עליו לעזוב את  הבית ולעבור לגור במקום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סירב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לאביו שהוא לא עוזב את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לקלל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ואיים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ירה בכל הילדים שלך ואניח אותם אחד ליד השני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עזב האב את בית הנאשם ושב לביתו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כשעתיים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הנאשם ליד בית אביו ובתגובה לשאלת אביו האם הגיע להחלטה שהוא עוזב את ביתו השיב הנאשם כי הוא לא יוצא מביתו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האב איננו אבא שלו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והלך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כשעתיים וחצי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הנאשם לבית אביו כשהוא נושא תת מקלע מאולתר שבכוחו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זמן שהו בבית האב אחיו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אשרף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אדם וריבחי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וכן האב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נעמד בסמוך לשער הכניסה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צעק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תצאו יא מנאייק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ופתח בירי באוויר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אביו של הנאשם ואחיו שמעו את היריות ופתחו את דלת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החל לברוח עם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ואחיו ואביו רדפו 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המשיך לברוח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המרדף אשרף קרא לנאשם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המשיך בבריחה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זמן קצר כאשר פתח הנאשם פער מהדולקים אחריו הוא הסתובב לעבר אביו ואחיו כשהוא מחזיק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האב והאחים נעצרו ונעמדו במרחק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 מהנאשם ובמפלס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 מעליו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האחים פנו לנאשם בדברים אלו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תבוא שיגידו עלייך שאתה גבר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יא שיכור בוא תרביץ לנו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תעשה משהו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תראה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ירה צרור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 והמשיך בבריחתו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שבסופו של דבר הוא הגיע לביתו של 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הוא זרק את הנשק והתחבא בגינה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זמן קצר הגיעו שוטרים לבית השכן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הם עצרו את הנאשם ותפסו את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מעשים אלו הורשע הנאשם בעבירות שנזכרו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טיעוני המאשימה לעונש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טיעוני המאשימה לעונש הגיש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תדפיס רישום 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הכולל בין היתר הרשעות קודמות שלו בעבירות אלימות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בהמשך הדברים נתייחס להרשעות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בטיעוני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לעונש 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על החומרה הרבה שבה רואים בתי המשפט עבירות של שימוש בנשק במסגרת סכסוכים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הפנה לפסיקה המדגישה את הצורך להגן על הציבור מפני מי שעושים שימוש בנשק ככלי לפתרון סכסוכים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גזרי דין בעניינם של מי שהורשעו בביצוע עבירות של שימוש בנשק לצורך יישוב סכסוכים מלמדים על ענישה שנעה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גם כאשר מדובר בנאשמים בעלי עבר פלילי לא מכביד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הסכים שיש לקבוע מתחם ענישה אחד לכל 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שהן בוצעו במהלך מספר 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אף ציין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אנחנו לא טוענים לאירוע מתוכנן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 כי פוטנציאל הנזק שהיה עלול להיגרם כתוצאה מביצוע העבירה הוא רב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לנוכח כל האמור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להעמיד את מתחם העונש ההולם על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טען כי על רקע עברו הפלילי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למקם את העונש המתאים בחלק העליון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ולגזור על הנאשם עונש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טיעוני הנאשם לעונש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טען שהנסיבות הקשורות בביצוע העבירה מחייבות קביעת מתחם נמוך מהמקובל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עמד בהקשר זה על הסיבות שהביאו את הנאשם לבצע את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כך שלא נגרם הלכה למעשה כל נזק 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כך שגם הנזק הפוטנציאלי שהיה עלול להיגרם כתוצאה ממעשיו של הנאשם איננו קיצוני בחומרתו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שהנאשם לא התכוון לפגוע באביו ובאחיו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ולראיה שכאשר אלו יצאו מהבית הוא ברח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למרות שהוא היה מצויד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יש להבין את מעשי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האיום בנשק והירי 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וההימלטות מפני אביו ואחיו למרות שאלו לא החזיקו בנשק מאידך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כמעשים שבוצעו בסערת רגשות על רקע מצוקתו הקשה של הנאשם כאשר הוא נדרש לעזוב יחד עם אשתו וחמשת ילדיו את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גם הדגיש את העובדה שהנשק נתפס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גם עמד על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כך שעובר לאירוע הוא עבד בשתי עבודות כדי לפרנס בכבוד את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עבר הליך טיפולי בזמן מעצרו בכלא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לגבי עברו הפלילי של הנאשם ציין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אין הרשעות קודמות בעבירות נשק וכי מדובר בהרשעות ישנות יחסית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כי מתחם העונש ההולם צריך לעמוד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חרף עברו הפלילי של הנאשם יש למקם את העונש המתאים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 רחוק מהרף התחתון של המתחם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דברי הנאשם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שמיעת טיעוני בא כוח הנאשם השמיע הנאשם את דבריו בהתרגשות 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נטל אחריות על מעשיו באומרו כי הוא מודע לכך שעשה טעות וכי הוא ביצע 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הסביר עד כמה הוא סובל בשל הניתוק מאשתו וילדיו ובשל חוסר יכולתו לסייע להם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התקופה שהוא עצור הוא עשה חשבון נפש עם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אף התקשר לאביו ואמר לו שהוא לא מעוניין יותר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 הוא ביקש מאביו סליחה וכל מה שהוא רוצה עכשיו זה לחזור כמה שיותר מהר לחיק משפחתו ולהשתקם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10"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הערכים המוגנים והפגיעה בהם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ביצוען של עבירות בנשק פוגע בערך המוגן של 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טבע הדברים הוא שכלי נשק עלולים לגרום לנזק גוף חמור ואף לאבדן 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 הדין לפיו נדרשת הרשאה לצורך 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שלפניי מידת הפגיעה בערך המוגן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בתת מקלע מאולתר שבו נעשה שימוש פעמיים במהלך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לא נגרם נזק כתוצאה מהשימוש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כך אעמוד בהמשך הדברים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לעבירה של נשיאה והובלת נשק מצטרפות במקרה שלפניי ארבע עבירות של 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הערך המוגן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עבירת האיומים הוא שלום נפשו של קרבן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זכאי לחיות את חייו שלא תחת פחד מאיומיו של 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שלפניי הפגיעה בערך המוגן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לנוכח העובדה שהאיום בא לידי ביטוי בביצוע ירי באוויר בשלב הראשון של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לנוכח תוכן האיום הנזכר בסעיף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 הנאשם איים לירות בילדיו של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 באחיו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1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הענישה הנוהגת</w:t>
      </w:r>
    </w:p>
    <w:p>
      <w:pPr>
        <w:pStyle w:val="Normal"/>
        <w:spacing w:lineRule="auto" w:line="360"/>
        <w:ind w:start="4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פעם אחר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וביתר שאת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בית המשפט העליון על החומרה הרבה נודעת לעבירות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 לאחרונה עמד בית המשפט העליון במסגרת פסק דינו 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סובאח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 חומרתן הרבה של עבירות הנשק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חומרתם של מקרים בהם נעשה שימוש בנשק לצורך יישוב סכסוכים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החמרת הענישה שצריכה להיגזר מכך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4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17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וכמעשה של יום ביומו גובה 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rtl w:val="true"/>
        </w:rPr>
        <w:t xml:space="preserve">... </w:t>
      </w:r>
    </w:p>
    <w:p>
      <w:pPr>
        <w:pStyle w:val="Normal"/>
        <w:spacing w:lineRule="auto" w:line="360"/>
        <w:ind w:start="1417" w:end="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על רקע המציאות אותה אנו חווים למרבה הצער מידי 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17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בית משפט זה לא נותר אדיש למול השימוש הגובר בנשק חי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זאת במיוחד כאשר השימוש בו נעשה בסביבת בתי מגורים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17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>....</w:t>
      </w:r>
    </w:p>
    <w:p>
      <w:pPr>
        <w:pStyle w:val="Normal"/>
        <w:spacing w:lineRule="auto" w:line="360"/>
        <w:ind w:hanging="720" w:start="1417" w:end="851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בהתאם לכך ולנוכח ריבוי מקר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הירי יש לנקוט במדיניות ענישה מחמירה כלפי ביצוע עבירות החזקת נשק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אחת כמה וכמה שימוש בנשק חם ופציעתם של קרבנות שונים עקב כך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17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הצורך במדיניות ענישה מחמירה נחוץ במיוחד כאשר השימוש בנשק גורר פגיעה בגוף ובנ</w:t>
      </w:r>
      <w:r>
        <w:rPr>
          <w:rFonts w:ascii="David" w:hAnsi="David"/>
          <w:b/>
          <w:b/>
          <w:bCs/>
          <w:rtl w:val="true"/>
        </w:rPr>
        <w:t>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 גם להגעתו של נשק זה לגורמים עוינים ובכלל גורמי טרור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rFonts w:ascii="David" w:hAnsi="David"/>
          <w:b/>
          <w:b/>
          <w:bCs/>
          <w:rtl w:val="true"/>
        </w:rPr>
        <w:t>נמצא אפוא כי בנסיבות דהיום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ראוי ונכון להחמיר את מדיניות הענישה הנוהגת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17" w:end="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ab/>
      </w:r>
    </w:p>
    <w:p>
      <w:pPr>
        <w:pStyle w:val="Normal"/>
        <w:spacing w:lineRule="auto" w:line="360"/>
        <w:ind w:start="708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דברים דומים נאמרו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הם לאחרונה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4530/19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זאווי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11.8.2019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1417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17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שב ופסק כי אין להשלים עם ביצוען של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וכי יש להחמיר בעונשם של המורשעים בעבירות אלו תוך מתן ביטוי עונשי הולם לסכנה הממשית הנשקפת ממעשיהם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 נזכור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להתאים את רמת הענישה בכל מקרה ומקרה לנסיבות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להבחין בין מקרה בו השימוש בנשק גרם לנזק לבין מקרה כמו ענייננו אנו בו בפועל לא נגרם נזק כתוצאה מהשימוש שנעשה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17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בהתאם למגמת ההחמרה בענישה הציג בא כוח המאשימה מספר גזרי דין בהם נגזרו עונשי מאסר ממושכים על מי שביצעו 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פלאח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8.3.2018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נדון עניינו של מערער אשר נגזר עליו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לאחר שהורשע על יסוד הודאתו במסגרת הסדר טיעון בביצוע עבירות של 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עובדות כתב האישום בהמשך לקטטה בין אחותו של המערער לבין אמו ואחותו של המתלונן איים המערער כי יירה על אמו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ואחותו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לכך הוא הגיע לביתו של המתלונן כשברשותו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מספר כדורים באוויר וכן מספר כדורים נוספים לעבר 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במטרה להפחיד את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שלושה מן הקליעים פגעו בחלון הקומה העליונה של הבית וחדרו פנימה ואילו קליע נוסף פגע בקומה הראשונה של הבניין וחדר פנימה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תסקיר שירות המבחן בעניינו של המערער היה שלילי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על רקע סירובו של המערער להשתלב בקבוצות טיפול שונות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רקע עברו הפלילי של המערער שכלל הרשעה בעבירת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ערעורו של המערער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שחזר על הקביעה לפיה חומרתן של עבירות הנשק נובעת בעיקר בשל הפוטנציאל שהן מקימות להסלמה עבריינית ובשל הסיכון הממשי שהן יוצרות לשלום הציבור וביטחונו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תורק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6.10.2016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נדון עניינו של מערער אשר נגזר עליו עונש של 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לאחר שהורשע במסגרת הסדר טיעון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עובדות כתב האישום על רקע תגרה שהתפתחה בין משפחת המערער למשפחת המתלוננים נטל המערער נשק 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רץ לעבר בית המתלוננים והחל לירות לעבר שער הבית שבסמוך אליו עמדו בני משפחת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במטרה לאיים 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האירוע ירה המערער לפחות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קליעים אשר אחד מהם פגע בשער בית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בתסקיר שירות המבחן נאמר כי הסיכון להתנהגות אלימה מטעם המערער הוא בינוני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לקחת בחשבון את יכולתו של המערער לשתף פעולה עם גורמי 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העובדה שאין לו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צוין שנערכה סולחה בין המשפחות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ערעורו של המערער על חומרת העונש תוך שהדגיש את החומרה הרבה של אותם מקרים שבהם שימוש בנשק חם נעשה בתוך שטח עירוני ובסביבת בתי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אף ציין כי מתחם העונש ההולם שקבע בית המשפט המחוזי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42-26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הוא מתחם שאין למצוא בו פגם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4595/13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זובידאת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6.7.2014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נדון עניינם של שני מערערים אשר נגזרו עליהם עונשים של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לאחר שהורשעו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הודאתם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וקשירת קשר לפשע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בכתב האישום נטען כי על רקע סכסוך בין משפחתו של המערער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 משפחה אחרת קשרו ביניהם שני המערערים קשר לבצע ירי מאקדח בכוונה להפחיד את המתלונן ומשפחתו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הצטיידו באקדח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לבית משפחת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 המתלונן ומשפחתו יושבים במרפסת הבית בקומת הקרקע ירה המערער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 יריות אשר פגעו בקירות הבית ובחלון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קבע כי מתחם העונש ההולם עומד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ובסופו של דבר גזר את העונש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העובדה שעברם של שני המערערים היה 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הפחית את עונשם של המערערים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זאת על רקע 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שנקבע כי לא נמצא פגם במתחם העונש ההולם שנקבע בבית המשפט המחוזי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יושם אל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בכל שלושת גזרי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ובשונה מעניינו של הנאשם שלפניי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הורשעו הנאשמים בעבירות נוספות מעבר לנשיאת נשק 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בשלושת המקרים פגעו קליעים בבתי המתלוננים או חדרו לתוכם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לפסקי דין בגדרם נגזרו עונשים קלים יותר בעבירות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לעניין </w:t>
      </w:r>
      <w:r>
        <w:rPr>
          <w:rFonts w:ascii="David" w:hAnsi="David"/>
          <w:b/>
          <w:b/>
          <w:bCs/>
          <w:rtl w:val="true"/>
        </w:rPr>
        <w:t>תורק</w:t>
      </w:r>
      <w:r>
        <w:rPr>
          <w:rFonts w:ascii="David" w:hAnsi="David"/>
          <w:rtl w:val="true"/>
        </w:rPr>
        <w:t xml:space="preserve">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וטען כי האמור בו איננו תומך בעמדת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היפנה לכך שהמתחם שנקבע בעניין </w:t>
      </w:r>
      <w:r>
        <w:rPr>
          <w:rFonts w:ascii="David" w:hAnsi="David"/>
          <w:b/>
          <w:b/>
          <w:bCs/>
          <w:rtl w:val="true"/>
        </w:rPr>
        <w:t>תורק</w:t>
      </w:r>
      <w:r>
        <w:rPr>
          <w:rFonts w:ascii="David" w:hAnsi="David"/>
          <w:rtl w:val="true"/>
        </w:rPr>
        <w:t xml:space="preserve"> עמד על </w:t>
      </w:r>
      <w:r>
        <w:rPr>
          <w:rFonts w:cs="David" w:ascii="David" w:hAnsi="David"/>
        </w:rPr>
        <w:t>42-26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ולדבריו הנסיבות באותו עניין היו חמורות בהרבה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תורק</w:t>
      </w:r>
      <w:r>
        <w:rPr>
          <w:rFonts w:ascii="David" w:hAnsi="David"/>
          <w:rtl w:val="true"/>
        </w:rPr>
        <w:t xml:space="preserve"> ירה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אשר אחד מהם פגע בשער בית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וכמו כן </w:t>
      </w:r>
      <w:r>
        <w:rPr>
          <w:rFonts w:ascii="David" w:hAnsi="David"/>
          <w:b/>
          <w:b/>
          <w:bCs/>
          <w:rtl w:val="true"/>
        </w:rPr>
        <w:t>תורק</w:t>
      </w:r>
      <w:r>
        <w:rPr>
          <w:rFonts w:ascii="David" w:hAnsi="David"/>
          <w:rtl w:val="true"/>
        </w:rPr>
        <w:t xml:space="preserve"> הורשע לא רק בביצוע עבירות של נשיאת נשק ואיומים אלא גם בעבירה של 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 הנאשם שלפניי ביצע שתי פעולות של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בסמיכות זמנים זו לזו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18300-11-18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נאשף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7.5.2019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נגזרו על הנאשם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שהוא הורשע בעבירות של נשיאת נשק וירי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ויכוח וקטטה בין הנאשם לבין מתדלק בתחנת דלק הגיע הנאשם לתחנת הדלק כשבידו 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מספר צרורות מהנשק לכיוון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בתחנת הדלק נכחו מספר אנשים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העמיד את מתחם העונש ההולם על </w:t>
      </w:r>
      <w:r>
        <w:rPr>
          <w:rFonts w:cs="David" w:ascii="David" w:hAnsi="David"/>
        </w:rPr>
        <w:t>50-20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ובסופו של דבר לנוכח עברו הנקי של הנאשם ולנוכח העובדה שהוא  נטל אחריות 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בית המשפט על הנאשם עונש של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34526-06-18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כמיל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14.11.2018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נגזרו על שני נאשמים עונשים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שהם הודו במסגרת הסדר טיעון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והורשעו בעבירות נשק לפי סעיפים </w:t>
      </w:r>
      <w:hyperlink r:id="rId20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גם בעבירה של 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בין הנאשמים ומשפחתם לבין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נורו יריות לעבר ביתם ורכבם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 נטלו הנאשמים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לבית המתלוננים וירו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העמיד את מתחם העונש ההולם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על </w:t>
        </w:r>
        <w:r>
          <w:rPr>
            <w:rStyle w:val="Hyperlink"/>
            <w:rFonts w:cs="David" w:ascii="David" w:hAnsi="David"/>
            <w:color w:val="0000FF"/>
            <w:u w:val="single"/>
          </w:rPr>
          <w:t>36-12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תוך מתן משקל לעובדה שלאחר שנורו יריות לעבר בית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אחד הנאשמים לעזרת המשטרה אך זאת ללא הועיל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ציין כי לחובתו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נזקף עבר פלילי הכולל הרשעות בעבירות של אלימות ובעבירה של 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לחובתו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נזקפו שש הרשעות קודמות לרבות הרשעה אחת בעבירת עוון שעניינה החזקת חלק של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על הנאשמים עונשים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51523-10-17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בלזמית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2.5.2018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נגזר על הנאשם 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לאחר שהוא הורשע במסגרת הסדר טיעון בעבירות של רכישת נשק ואביזר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 נשיאת והובלת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רכש תת מקלע והחביא אותו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נטען כי הנאשם עשה שימוש כלשהו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יוצא 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נסיבותיו של מקרה זה שונות באופן מהותי מנסיבות המקרה שלפניי ולכן הוא אינו יכול לשמש אמת מידה לענישה הנוהגת במקרים מהסוג שלפניי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הנסיבות הקשורות בביצוע העבירה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העבירות המיוחסות לנאשם בוצעו בשני פרקי זמן שונים ביום </w:t>
      </w:r>
      <w:r>
        <w:rPr>
          <w:rFonts w:cs="David" w:ascii="David" w:hAnsi="David"/>
        </w:rPr>
        <w:t>2.1.19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בתחילת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10:30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התרחש עימות מילולי בין הנאשם לאביו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במהלכו איים הנאשם כי יירה באחיו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 הגיע הנאשם לבית אביו לאחר שהצטייד בתת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וביצע ירי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במצב דברים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שהמאשימה לא טענה כי מעשה העבירה היה מתוכנן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שהיה לנאשם פרק זמן שבו הוא יכול היה להתעשת ולהחליט שלא לבצע את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העובדות בהן הודה הנאשם מלמדות כי הוא לא תכנן לפגוע ממש באביו או באחיו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הירי הראשוני בוצע באוויר ולא לעבר הבית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כאשר יצאו האב והאחים מהבית הנאשם ניסה לנתק עמם מגע בכך שנמלט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הירי השני בוצע על ידי הנאשם רק כאשר נפתח פער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 בינו לבין אביו ואחיו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 לאחריו המשיך הנאשם במנוסתו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טענה בכתב האישום לפיה הירי השני בוצע לעבר האב והאחים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נאמר בכתב האישום רק זאת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הנאשם ירה צרור של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יריות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חלקו של הנאשם בביצוע העבירה בלעדי ומלא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הסיבות שהביאו את הנאשם לבצע את העבירה נעוצות במצוקתו האישית הקשה על רקע הדרישה שהוא ומשפחתו יעזבו את ביתם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מניע זה פחות חמור ממניעים אפשריים אחרים לשימוש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כגון קידום מיזם פלילי כלשהו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ניסיון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סגירת חשבונות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עם זאת 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לראות את דרישת האב שהנאשם יעזוב את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את דברי איהב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הלילה אני יורה בך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או את דברי האחים בזמן המרדף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יא שיכור בו תרביץ לנו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תעשה משהו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תירה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כעובדות המקימות נסיבות לפי סעיפים  </w:t>
      </w:r>
      <w:hyperlink r:id="rId24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 (</w:t>
        </w:r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 (</w:t>
        </w:r>
        <w:r>
          <w:rPr>
            <w:rStyle w:val="Hyperlink"/>
            <w:rFonts w:cs="David" w:ascii="David" w:hAnsi="David"/>
            <w:color w:val="0000FF"/>
            <w:u w:val="single"/>
          </w:rPr>
          <w:t>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שעניינן התגרות מצד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מצוקה נפשית שנגרמה עקב התעללות מצד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בהתקיימן יש בהן כדי להפחית את חומרת 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נזכיר 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חלף פרק זמן של יומיים מרגע שהשמיע איהב את דבריו ועד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וחלפו כארבע וחצי שעות בין הדרישה שהפנה האב לנאשם בשעות הבוקר לבין הגעת הנאשם עם נשק לבית האב בשעות אחר הצהריים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במצב דברים זה היה לנאשם די זמן כדי לשקול את מעשיו ולהימנע מביצוע העבירות חרף מצוקתו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כל ירי בנשק טומן בחובו סיכון אפשרי לשלום גופם של מי שנמצאים באזור הירי ואף לחייהם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דברים אלו נכונים ביתר שאת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לכך שהנאשם עשה שימוש בתת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שהוא בבחינת נשק התקפי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ארוך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סיכון זה קיים גם כאשר מבוצע ירי באוויר וגם כאשר היורה איננו מתכוון לפגוע במאן דהו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כדור שנורה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ובוודאי בשטח בנוי כשכונת בית חנינה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יכול לפגוע באדם במקרה שזווית הירי איננה מדויקת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אם הכדור פוגע בדרכו מעלה בדבר מה וסוטה ממסלולו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הפוטנציאלי הכרוך בשימוש בנשק הוא שמקנה לעבירות הנשק את חומרתן הרבה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אפילו אם בפועל לא נגרם נזק של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ובכל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גזירת הדין אין דין עבירה שכתוצאה ממנה נגרם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כדין עבירה שכתוצאה ממנה לא נגרם 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מורים אותנו סעיפים </w:t>
      </w:r>
      <w:hyperlink r:id="rId26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 (</w:t>
        </w:r>
        <w:r>
          <w:rPr>
            <w:rStyle w:val="Hyperlink"/>
            <w:rFonts w:cs="David" w:ascii="David" w:hAnsi="David"/>
            <w:color w:val="0000FF"/>
            <w:u w:val="single"/>
          </w:rPr>
          <w:t>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 (</w:t>
        </w:r>
        <w:r>
          <w:rPr>
            <w:rStyle w:val="Hyperlink"/>
            <w:rFonts w:cs="David" w:ascii="David" w:hAnsi="David"/>
            <w:color w:val="0000FF"/>
            <w:u w:val="single"/>
          </w:rPr>
          <w:t>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המחייבים את בית המשפט להתחשב מחד בנזק הפוטנציאלי שהיה צפוי להיגרם כתוצאה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בנזק שנגרם בפועל כתוצאה מביצוע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שלפניי מלמדות העובדות כי הסיכוי להתממשות הנזק שהיה צפוי כתוצאה מביצוע הירי על ידי הנאשם לא היה 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כיוון את הירי לעבר אביו ואחיו וגם לא לעבר בית האב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הירי הראשון בוצע באוויר בשעה שהאב והאחים ישבו בתוך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שהסיכוי שלהם להיפגע מהירי לא היה 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טענה בכתב האישום כי בשעת הירי היו מחוץ לבית עוברי אורח שיכלו להיפגע מהירי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לזקוף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לזכות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במידה מסוימת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העובדה שלא נגרם נזק 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 שעובדה זו לא נובעת רק ממזל גרידא אלא גם מהאופן בו ביצע הנאשם את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הירי ברח הנאשם מאביו ואחיו ובכך גרם להפחתת הסיכון שנשקף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יש להביא בחשבון שבהמשך המרדף ביצע הנאשם ירי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 לא נגרם נזק כלשהו כתוצאה מהירי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והנשק שבו בוצע הירי 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נשקפת סכנה שהוא יגיע לידיים לא מורשות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שעניינן הנזק שצפוי היה להיגרם כתוצאה מביצוע העבירה והעובדה שלא נגרם נזק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יובאו בחשבון לעת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המשקל שיינתן להן לקולה יהיה מוגבל לנוכח הסיכון הכרוך מעצם טבע הדברים בביצוע ירי בשכונת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סיכון עליו עמדתי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לנוכח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ובזיקה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למתחם העונש שנקבע בעניין </w:t>
      </w:r>
      <w:r>
        <w:rPr>
          <w:rFonts w:ascii="David" w:hAnsi="David"/>
          <w:b/>
          <w:b/>
          <w:bCs/>
          <w:rtl w:val="true"/>
        </w:rPr>
        <w:t>תורק</w:t>
      </w:r>
      <w:r>
        <w:rPr>
          <w:rFonts w:ascii="David" w:hAnsi="David"/>
          <w:rtl w:val="true"/>
        </w:rPr>
        <w:t xml:space="preserve">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שנסיבותיו מעט חמורות יותר מהמקרה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מתחם העונש ההולם במקרה שלפניי 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לבין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הנסיבות שאינן קשורות בביצוע העבירה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לחמישה ילדים קטנים שהבכור שבהם בן שש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עובר למעצרו עבד הנאשם בשתי עבודות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האחת בתחנת דלק והשנייה בחניון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מהן פרנס את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ספק כי מאסרו של הנאשם יגרום נזק למשפחתו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נזק זה איננו חורג מהנזק הצפוי באופן טבעי כתוצאה מריצוי עונש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עברו הפלילי של הנאשם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כעולה מגיליון ההרשעות הקודמות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באמתחתו של הנאשם שבע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עבירות אלימות וסמים שבוצעו מאז שנת </w:t>
      </w:r>
      <w:r>
        <w:rPr>
          <w:rFonts w:cs="David" w:ascii="David" w:hAnsi="David"/>
        </w:rPr>
        <w:t>2004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היה הנאשם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ועד 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 ההרשעות כוללות מגוון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מעבירות תקיפה הגורמת חבלה של ממש ותקיפה סתם על ידי שניים או יותר </w:t>
      </w:r>
      <w:r>
        <w:rPr>
          <w:rFonts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/>
            <w:color w:val="0000FF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שלום י</w:t>
        </w:r>
        <w:r>
          <w:rPr>
            <w:rStyle w:val="Hyperlink"/>
            <w:rFonts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/>
            <w:color w:val="0000FF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</w:rPr>
          <w:t>2014/06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עבור לעבירות של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איומים והיזק לרכוש במזיד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שלום רחובות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2064/06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המשך בהרשעה באיומים ובתקיפת עובד ציבור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שלום 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6635/08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וכלה בהרשעה בבית המשפט המחוזי בירושלים בעבירות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וחבלה כשהעבריין מזויין </w:t>
      </w:r>
      <w:r>
        <w:rPr>
          <w:rFonts w:cs="David" w:ascii="David" w:hAnsi="David"/>
          <w:rtl w:val="true"/>
        </w:rPr>
        <w:t>(</w:t>
      </w:r>
      <w:hyperlink r:id="rId29">
        <w:r>
          <w:rPr>
            <w:rStyle w:val="Hyperlink"/>
            <w:rFonts w:ascii="David" w:hAnsi="David"/>
            <w:color w:val="0000FF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/>
            <w:color w:val="0000FF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</w:rPr>
          <w:t>280/08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ביני לביני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גם בביצוע שתי עבירות של יצוא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מסחר ואספקת סמים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שלום 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43445-10-12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ולבסוף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הנאשם בעבירה של תקיפה סתם של בן זוג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שלום 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29034-11-14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בגין הרשעותיו נגזרו על הנאשם עונשי מאסר המסתכמים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מהם חודשיים לריצוי בחופף ושישה חודשים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לכך שכל העבירות בהן הורשע בעבר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מלבד העבירה האחרונה של תקיפת בן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בוצעו לפני שנולדו ילדי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מאז נולדו ילדיו של הנאשם הוא בחר לחיות חיים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והמקרה נושא האישום הנוכחי הוא בבחינת יוצא מהכלל שאיננו מעיד על הכלל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העיון בגיליון ההרשעות הקודמות אכן מלמד על התמתנות מסוימת בהסתבכויותיו של הנאשם עם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חמש מבין שבע ההרשעות הקודמות של הנאשם הן בגין עבירות שבוצעו עד שנת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שנת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ביצע הנאשם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 הנאשם שתי 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ומאז ועד ההרשעה הנוכחית 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אחת של תקיפת בן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בגינה הוטל על הנאשם עונש קל יחסית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התמונה המתקבלת 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של נאשם אשר ביצע עבירות חמורות בעבר וחרף עונשים כאלו ואחרים שנגזרו עליו מדי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 וביצע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ההתמתנות המסוימת שחלה בהתנהגות הנאשם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מאז 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המשפחה שהקים והתמקדותו בפרנסתה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שהנאשם ניהל בשנים אלו חיים נורמטיביים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אין לזקוף לחובתו את העבר הפלילי במלוא העוצמה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לראות בנאשם כמי שזנח לחלוטין את דרכו הרעה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האירוע נושא כתב האישום הנוכחי מלמד על נגישותו של הנאשם לנשק ועל נכונותו להשתמש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שאיננו מתיישב עם ניהול חיים נורמטיביים כאחד האדם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העבר הפלילי האמור אין בידי לקבל את עמדת בא כוח הנאשם לפיה יש למקם את עונשו של הנאשם קרוב לתחתית 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הודה במיוחס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הוא חסך מזמנה של המאשימה ומזמנו של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לעובדה זו יינתן משקל של ממש לעת גזירת העונש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שאלמלא ההודאה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ולנוכח העבר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צריך למקם את העונש המתאים בחלק העליון של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הודאתו של הנאשם לוותה גם בחרטה כנה על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השתקף בדבריו האחרונים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מהם עולה רושם שהנאשם מבין את חומרת מעשיו ומצטער 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מבטא שאיפות לקיים חיים נורמטיביים לאחר שחרורו מהכלא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יש לזקוף לזכות הנאשם את ניסיונותיו להשתקם במהלך מעצרו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ציין כי כאשר שהה בכלא ניצן הוא השתלב בטיפול שיקומי וכי כיום בכלא רימונים הוא מתפקד בקבוצות וכאסיר חוליה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טענות אלו לא נסתרו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גם ציין בדבריו האחרונים כי ביקש את סליחת אביו על האירוע וכי הוא איננו מעוניין עוד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דברי הנאשם לא נסתרו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יש לציין שאביו לא התייצב לדיון כדי לאשרם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לנוכח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על רקע עברו הפלילי של הנאשם 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והודאתו 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יש למקם את עונשו של הנאשם מעט מעל לאמצע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ולנוכח כל האמור לעיל אני גוזר על הנאשם את העונשים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של הנאשם מיום </w:t>
      </w:r>
      <w:r>
        <w:rPr>
          <w:rFonts w:cs="David" w:ascii="David" w:hAnsi="David"/>
        </w:rPr>
        <w:t>2.1.19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אותם ירצה הנאשם בפועל אם יעבור בתוך שלוש שנים מיום שחרורו מהכלא 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ושלושה חודשי מאסר על תנאי אותם ירצה הנאשם בפועל אם בתוך שלוש שנים מיום שחרורו מהכלא הוא יעבור עבירת איומים או עבירת אלימות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הודע לנאשם על זכותו לערער לבית המשפט העליון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bookmarkStart w:id="9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 טבת תש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08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ינואר </w:t>
      </w:r>
      <w:r>
        <w:rPr>
          <w:rFonts w:cs="David" w:ascii="David" w:hAnsi="David"/>
          <w:b/>
          <w:bCs/>
        </w:rPr>
        <w:t>2020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בנוכחות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9"/>
      <w:r>
        <w:rPr>
          <w:rFonts w:cs="David" w:ascii="David" w:hAnsi="David"/>
          <w:b/>
          <w:bCs/>
          <w:sz w:val="28"/>
          <w:szCs w:val="28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43752-01-19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חאזם דלאל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3." TargetMode="External"/><Relationship Id="rId4" Type="http://schemas.openxmlformats.org/officeDocument/2006/relationships/hyperlink" Target="http://www.nevo.co.il/law/70301/40i.a.4" TargetMode="External"/><Relationship Id="rId5" Type="http://schemas.openxmlformats.org/officeDocument/2006/relationships/hyperlink" Target="http://www.nevo.co.il/law/70301/40i.a.7." TargetMode="External"/><Relationship Id="rId6" Type="http://schemas.openxmlformats.org/officeDocument/2006/relationships/hyperlink" Target="http://www.nevo.co.il/law/70301/40i.a.8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25836997" TargetMode="External"/><Relationship Id="rId15" Type="http://schemas.openxmlformats.org/officeDocument/2006/relationships/hyperlink" Target="http://www.nevo.co.il/case/23509035" TargetMode="External"/><Relationship Id="rId16" Type="http://schemas.openxmlformats.org/officeDocument/2006/relationships/hyperlink" Target="http://www.nevo.co.il/case/21474922" TargetMode="External"/><Relationship Id="rId17" Type="http://schemas.openxmlformats.org/officeDocument/2006/relationships/hyperlink" Target="http://www.nevo.co.il/case/7697292" TargetMode="External"/><Relationship Id="rId18" Type="http://schemas.openxmlformats.org/officeDocument/2006/relationships/hyperlink" Target="http://www.nevo.co.il/case/25127246" TargetMode="External"/><Relationship Id="rId19" Type="http://schemas.openxmlformats.org/officeDocument/2006/relationships/hyperlink" Target="http://www.nevo.co.il/case/24305289" TargetMode="External"/><Relationship Id="rId20" Type="http://schemas.openxmlformats.org/officeDocument/2006/relationships/hyperlink" Target="http://www.nevo.co.il/law/70301/144.a.;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5380663" TargetMode="External"/><Relationship Id="rId23" Type="http://schemas.openxmlformats.org/officeDocument/2006/relationships/hyperlink" Target="http://www.nevo.co.il/case/23169485" TargetMode="External"/><Relationship Id="rId24" Type="http://schemas.openxmlformats.org/officeDocument/2006/relationships/hyperlink" Target="http://www.nevo.co.il/law/70301/40i.a.7.;40i.a.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i.a.3.;40i.a.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10005" TargetMode="External"/><Relationship Id="rId29" Type="http://schemas.openxmlformats.org/officeDocument/2006/relationships/hyperlink" Target="http://www.nevo.co.il/case/2523149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2020-02-16T08:24:00Z</dcterms:created>
  <dc:creator> </dc:creator>
  <dc:description/>
  <cp:keywords/>
  <dc:language>en-IL</dc:language>
  <cp:lastModifiedBy>orly</cp:lastModifiedBy>
  <dcterms:modified xsi:type="dcterms:W3CDTF">2020-02-16T08:24:00Z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חאזם דלאל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25824863;25836997;23509035;21474922;7697292;25127246;24305289;25380663;23169485;510005;2523149</vt:lpwstr>
  </property>
  <property fmtid="{D5CDD505-2E9C-101B-9397-08002B2CF9AE}" pid="9" name="CITY">
    <vt:lpwstr>י-ם</vt:lpwstr>
  </property>
  <property fmtid="{D5CDD505-2E9C-101B-9397-08002B2CF9AE}" pid="10" name="DATE">
    <vt:lpwstr>20200108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70301/144.b:2;192;144.a;040i.a.7;040i.a.8;040i.a.3;040i.a.4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43752</vt:lpwstr>
  </property>
  <property fmtid="{D5CDD505-2E9C-101B-9397-08002B2CF9AE}" pid="23" name="NEWPARTB">
    <vt:lpwstr>01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איומים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13800;16460</vt:lpwstr>
  </property>
  <property fmtid="{D5CDD505-2E9C-101B-9397-08002B2CF9AE}" pid="59" name="PADIDATE">
    <vt:lpwstr>20200216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390120200108</vt:lpwstr>
  </property>
  <property fmtid="{D5CDD505-2E9C-101B-9397-08002B2CF9AE}" pid="69" name="TYPE_N_DATE">
    <vt:lpwstr>39020200108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