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4382-12-08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משה גינות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4391-12-08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גולן ארזי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ליאור בנימין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גב</w:t>
      </w:r>
      <w:r>
        <w:rPr>
          <w:u w:val="none"/>
          <w:rtl w:val="true"/>
        </w:rPr>
        <w:t xml:space="preserve">' </w:t>
      </w:r>
      <w:r>
        <w:rPr>
          <w:u w:val="none"/>
          <w:rtl w:val="true"/>
        </w:rPr>
        <w:t xml:space="preserve">נעמה שגיא </w:t>
      </w:r>
      <w:r>
        <w:rPr>
          <w:u w:val="none"/>
          <w:rtl w:val="true"/>
        </w:rPr>
        <w:t>(</w:t>
      </w:r>
      <w:r>
        <w:rPr>
          <w:u w:val="none"/>
          <w:rtl w:val="true"/>
        </w:rPr>
        <w:t>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אבנון</w:t>
      </w:r>
      <w:r>
        <w:rPr>
          <w:u w:val="none"/>
          <w:rtl w:val="true"/>
        </w:rPr>
        <w:t>)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גולן ארזי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אין מחלוקת שבתאריך </w:t>
      </w:r>
      <w:r>
        <w:rPr>
          <w:rFonts w:cs="Arial" w:ascii="Arial" w:hAnsi="Arial"/>
        </w:rPr>
        <w:t>2.12.08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ביצעו שוטרים חיפוש בביתו של הנאשם בחדרה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במהלך החיפוש מצאו השוטרים בחדרו של הנאשם אקדח מסוג </w:t>
      </w:r>
      <w:r>
        <w:rPr>
          <w:rFonts w:cs="Arial" w:ascii="Arial" w:hAnsi="Arial"/>
        </w:rPr>
        <w:t>tanfoglio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מחסנית אשר הכילה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בעניינו של הנאשם נתבקש תסקיר קצין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עולה כי המדובר בנאשם בן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גרוש ואב ל 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חודשים ספורים עובר למעצרו עבד הנאשם בחברת קייטרינג ממנה פוטר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בוגר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והוא שירת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שירות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כלוחם ולאחר מכן בעקבות פציעתו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כעובד מנהלה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בתום שירותו הצבאי עבד הנאשם בעבודות מזדמנות והועסק גם כנהג משאית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נישא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נולדו לו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לפני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התגרש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יצוין כי הנאשם ניסה דרכו כעצמאי לאחר שפתח חברה לשליחויות ביחד עם גיסו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החברה נסגרה לאחר שצבר חובות 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Times New Roman" w:hAnsi="Times New Roman" w:cs="Times New Roman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בשנים </w:t>
      </w:r>
      <w:r>
        <w:rPr>
          <w:rFonts w:cs="Arial" w:ascii="Arial" w:hAnsi="Arial"/>
          <w:b/>
          <w:bCs/>
          <w:u w:val="single"/>
        </w:rPr>
        <w:t>1993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  <w:b/>
          <w:bCs/>
          <w:u w:val="single"/>
        </w:rPr>
        <w:t>1995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הנאשם עבירות של תקיפה ותקיפת עובד ציבור ונדון לעונשי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תיקים אלו נפתחו לאחר שהתעמת עם פקחים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בפגישתו עם קצינת המבחן נטל הנאשם אחריות לביצוע העבירה</w:t>
      </w:r>
      <w:r>
        <w:rPr>
          <w:rtl w:val="true"/>
        </w:rPr>
        <w:t xml:space="preserve">; </w:t>
      </w:r>
      <w:r>
        <w:rPr>
          <w:rtl w:val="true"/>
        </w:rPr>
        <w:t>הוא סיפר כי מצא את האקדח בחצר ביתו</w:t>
      </w:r>
      <w:r>
        <w:rPr>
          <w:rtl w:val="true"/>
        </w:rPr>
        <w:t xml:space="preserve">. </w:t>
      </w:r>
      <w:r>
        <w:rPr>
          <w:rtl w:val="true"/>
        </w:rPr>
        <w:t>מתברר כי הנאשם התקשה להסביר את המניעים לנטילת האקדח לביתו</w:t>
      </w:r>
      <w:r>
        <w:rPr>
          <w:rtl w:val="true"/>
        </w:rPr>
        <w:t xml:space="preserve">, </w:t>
      </w:r>
      <w:r>
        <w:rPr>
          <w:rtl w:val="true"/>
        </w:rPr>
        <w:t>אולם הוא לא התנער מאחריותו לביצוע המעשה ולסיכונים אותם גרם בהתנהגותו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מתברר כי עם מציאת כלי הנשק נעצר הנאשם והוא שהה במעצר סגור בין התאריכים</w:t>
      </w:r>
      <w:r>
        <w:rPr>
          <w:rtl w:val="true"/>
        </w:rPr>
        <w:t xml:space="preserve">: </w:t>
      </w:r>
      <w:r>
        <w:rPr>
          <w:b/>
          <w:bCs/>
          <w:u w:val="single"/>
        </w:rPr>
        <w:t>2.12.08</w:t>
      </w:r>
      <w:r>
        <w:rPr>
          <w:rtl w:val="true"/>
        </w:rPr>
        <w:t xml:space="preserve"> </w:t>
      </w:r>
      <w:r>
        <w:rPr>
          <w:rtl w:val="true"/>
        </w:rPr>
        <w:t xml:space="preserve">ועד ל – </w:t>
      </w:r>
      <w:r>
        <w:rPr>
          <w:b/>
          <w:bCs/>
          <w:u w:val="single"/>
        </w:rPr>
        <w:t>29.1.09</w:t>
      </w:r>
      <w:r>
        <w:rPr>
          <w:rtl w:val="true"/>
        </w:rPr>
        <w:t xml:space="preserve">. </w:t>
      </w:r>
      <w:r>
        <w:rPr>
          <w:rtl w:val="true"/>
        </w:rPr>
        <w:t xml:space="preserve">עם שחרורו מן המעצר שהה הנאשם במעצר בית סגור 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בסמיכות לבית גרושתו ובנותיו</w:t>
      </w:r>
      <w:r>
        <w:rPr>
          <w:rtl w:val="true"/>
        </w:rPr>
        <w:t xml:space="preserve">, </w:t>
      </w:r>
      <w:r>
        <w:rPr>
          <w:rtl w:val="true"/>
        </w:rPr>
        <w:t xml:space="preserve">ו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בבית קרובי משפחתו בראשל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קצינת המבחן לא הסתפקה בשיחה עם הנאשם אלא שוחחה עם גרושתו אשר הביעה זעמה על הסתבכותו של הנאשם בביצוע עבירה זו</w:t>
      </w:r>
      <w:r>
        <w:rPr>
          <w:rtl w:val="true"/>
        </w:rPr>
        <w:t xml:space="preserve">. </w:t>
      </w:r>
      <w:r>
        <w:rPr>
          <w:rtl w:val="true"/>
        </w:rPr>
        <w:t>היא לא שללה את האפשרות ולפיה ביקש הנאשם לפגוע בעצמו וזאת על רקע מצוקותיו והמשברים אותם חווה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בבואה להמליץ על העונש הראוי לנאשם</w:t>
      </w:r>
      <w:r>
        <w:rPr>
          <w:rtl w:val="true"/>
        </w:rPr>
        <w:t xml:space="preserve">, </w:t>
      </w:r>
      <w:r>
        <w:rPr>
          <w:rtl w:val="true"/>
        </w:rPr>
        <w:t>התלבטה קצינת המבחן שכן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להתרשמותה</w:t>
      </w:r>
      <w:r>
        <w:rPr>
          <w:rtl w:val="true"/>
        </w:rPr>
        <w:t xml:space="preserve">, </w:t>
      </w:r>
      <w:r>
        <w:rPr>
          <w:rtl w:val="true"/>
        </w:rPr>
        <w:t>המדובר באדם אשר נוטה לתפקוד יציב ונורמטיבי במישור 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נותרו עמומות וסימני שאלה מרחפים על מניעיו של הנאשם להחזקת 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החליטה קצינת המבחן להימנע ממתן המלצה לענין עונשו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בטיעוניו לעונש</w:t>
      </w:r>
      <w:r>
        <w:rPr>
          <w:rtl w:val="true"/>
        </w:rPr>
        <w:t xml:space="preserve">, </w:t>
      </w:r>
      <w:r>
        <w:rPr>
          <w:rtl w:val="true"/>
        </w:rPr>
        <w:t>עמד על החומרה הרבה שבמעשה</w:t>
      </w:r>
      <w:r>
        <w:rPr>
          <w:rtl w:val="true"/>
        </w:rPr>
        <w:t xml:space="preserve">, </w:t>
      </w:r>
      <w:r>
        <w:rPr>
          <w:rtl w:val="true"/>
        </w:rPr>
        <w:t>ושם את הדגש על הסיכון אותו יצר הנאשם בהתנהלותו</w:t>
      </w:r>
      <w:r>
        <w:rPr>
          <w:rtl w:val="true"/>
        </w:rPr>
        <w:t xml:space="preserve">; </w:t>
      </w:r>
      <w:r>
        <w:rPr>
          <w:rtl w:val="true"/>
        </w:rPr>
        <w:t>הוא הפנה לפסקי דין שניתנו בביהמ</w:t>
      </w:r>
      <w:r>
        <w:rPr>
          <w:rtl w:val="true"/>
        </w:rPr>
        <w:t>"</w:t>
      </w:r>
      <w:r>
        <w:rPr>
          <w:rtl w:val="true"/>
        </w:rPr>
        <w:t>ש העליון בהם הוטלו עונשי מאסר לריצוי בפועל בגין עבירות של החזקת נשק</w:t>
      </w:r>
      <w:r>
        <w:rPr>
          <w:rtl w:val="true"/>
        </w:rPr>
        <w:t xml:space="preserve">: </w:t>
      </w:r>
      <w:hyperlink r:id="rId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9514/08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בלטי</w:t>
      </w:r>
      <w:r>
        <w:rPr>
          <w:b/>
          <w:bCs/>
          <w:rtl w:val="true"/>
        </w:rPr>
        <w:t xml:space="preserve">; </w:t>
      </w:r>
      <w:hyperlink r:id="rId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אגא אדהם נגד מדינת ישראל</w:t>
      </w:r>
      <w:r>
        <w:rPr>
          <w:b/>
          <w:bCs/>
          <w:rtl w:val="true"/>
        </w:rPr>
        <w:t xml:space="preserve">; </w:t>
      </w:r>
      <w:hyperlink r:id="rId8">
        <w:r>
          <w:rPr>
            <w:rStyle w:val="Hyperlink"/>
            <w:b/>
            <w:b/>
            <w:bCs/>
            <w:rtl w:val="true"/>
          </w:rPr>
          <w:t>עפ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ג </w:t>
        </w:r>
        <w:r>
          <w:rPr>
            <w:rStyle w:val="Hyperlink"/>
            <w:b/>
            <w:bCs/>
          </w:rPr>
          <w:t>2958-02-09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</w:t>
      </w:r>
      <w:r>
        <w:rPr>
          <w:b/>
          <w:b/>
          <w:bCs/>
          <w:rtl w:val="true"/>
        </w:rPr>
        <w:t>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עוואד חורי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אבנון</w:t>
      </w:r>
      <w:r>
        <w:rPr>
          <w:rtl w:val="true"/>
        </w:rPr>
        <w:t xml:space="preserve">, </w:t>
      </w:r>
      <w:r>
        <w:rPr>
          <w:rtl w:val="true"/>
        </w:rPr>
        <w:t>ביקש להקל עם מרשו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המדובר בנאשם נורמטיבי שאינו זקוק לטיפול כלשהו של שירות המבחן</w:t>
      </w:r>
      <w:r>
        <w:rPr>
          <w:rtl w:val="true"/>
        </w:rPr>
        <w:t xml:space="preserve">. </w:t>
      </w:r>
      <w:r>
        <w:rPr>
          <w:rtl w:val="true"/>
        </w:rPr>
        <w:t>הוא הדגיש כי הנאשם הודה בעבירה המיוחסת לו וכי לא נתכוון לבצע עבירה פלילית כלשהי באמצעות הנשק אותו החזיק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עוד טען הסניגור</w:t>
      </w:r>
      <w:r>
        <w:rPr>
          <w:rtl w:val="true"/>
        </w:rPr>
        <w:t xml:space="preserve">, </w:t>
      </w:r>
      <w:r>
        <w:rPr>
          <w:rtl w:val="true"/>
        </w:rPr>
        <w:t>כי מן העובדה שהנשק לא הוסתר בביתו של הנאשם ניתן ללמוד כי לא מדובר בעבריין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הסניגור ביקש שלא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בעיקר נוכח העובדה שבתקופה הארוכה בה הוגבלה חירותו</w:t>
      </w:r>
      <w:r>
        <w:rPr>
          <w:rtl w:val="true"/>
        </w:rPr>
        <w:t xml:space="preserve">, </w:t>
      </w:r>
      <w:r>
        <w:rPr>
          <w:rtl w:val="true"/>
        </w:rPr>
        <w:t>למד הנאשם את לקחו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בהתייחס לפסקי הדין אליהם הפנה התובע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שם מדובר בנסיבות חמורות פי כמה מן הנסיבות שבפנינו</w:t>
      </w:r>
      <w:r>
        <w:rPr>
          <w:rtl w:val="true"/>
        </w:rPr>
        <w:t xml:space="preserve">, </w:t>
      </w:r>
      <w:r>
        <w:rPr>
          <w:rtl w:val="true"/>
        </w:rPr>
        <w:t>וכן בנאשמים בעלי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אין צורך להכביר מילים על חומרת העבירה בה הורשע הנאשם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כי הסכנה הטמונה בעבירה החמורה של החזקת נשק מצדיקה הטלת עונשי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בעבירות אלו יש להעדיף את האינטרס הציבורי הדורש להרתיע עבריינים בכוח מלבצע עבירות 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בבואי לגזור את דינו של הנאשם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בנסיבות הענין ניתן לגזור לנאשם עונש מאסר בפועל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וזאת בהביאי בחשבון את התסקיר המפורט בעניינו</w:t>
      </w:r>
      <w:r>
        <w:rPr>
          <w:rtl w:val="true"/>
        </w:rPr>
        <w:t xml:space="preserve">, </w:t>
      </w:r>
      <w:r>
        <w:rPr>
          <w:rtl w:val="true"/>
        </w:rPr>
        <w:t>את העובדה שלא מדובר בעבריין</w:t>
      </w:r>
      <w:r>
        <w:rPr>
          <w:rtl w:val="true"/>
        </w:rPr>
        <w:t xml:space="preserve">, </w:t>
      </w:r>
      <w:r>
        <w:rPr>
          <w:rtl w:val="true"/>
        </w:rPr>
        <w:t>ובעיקר את העובדה שאין כל ראיה ואף לא נטען כי הנאשם נתכוון לבצע עבירה פלילית באמצעות כלי הנשק אותו החזיק</w:t>
      </w:r>
      <w:r>
        <w:rPr>
          <w:rtl w:val="true"/>
        </w:rPr>
        <w:t xml:space="preserve">. </w:t>
      </w:r>
      <w:r>
        <w:rPr>
          <w:rtl w:val="true"/>
        </w:rPr>
        <w:t>הנאשם הודה בביצוע העבירה המיוחסת לו</w:t>
      </w:r>
      <w:r>
        <w:rPr>
          <w:rtl w:val="true"/>
        </w:rPr>
        <w:t xml:space="preserve">, </w:t>
      </w:r>
      <w:r>
        <w:rPr>
          <w:rtl w:val="true"/>
        </w:rPr>
        <w:t>הוא מודע היטב לסיכון שיצר</w:t>
      </w:r>
      <w:r>
        <w:rPr>
          <w:rtl w:val="true"/>
        </w:rPr>
        <w:t xml:space="preserve">, </w:t>
      </w:r>
      <w:r>
        <w:rPr>
          <w:rtl w:val="true"/>
        </w:rPr>
        <w:t>הוא לא התכחש לאחריותו בפני שירות המבחן</w:t>
      </w:r>
      <w:r>
        <w:rPr>
          <w:rtl w:val="true"/>
        </w:rPr>
        <w:t xml:space="preserve">, </w:t>
      </w:r>
      <w:r>
        <w:rPr>
          <w:rtl w:val="true"/>
        </w:rPr>
        <w:t>ונראה כי התקופה בת החודשיים אותה בילה במעצר סגור המחישה לו היטב את חומרת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גוזר לנאשם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 xml:space="preserve">מאסר מתוכם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 xml:space="preserve">לריצוי בפועל בניכוי תקופת מעצרו שבין </w:t>
      </w:r>
      <w:r>
        <w:rPr/>
        <w:t>2.12.08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29.1.09</w:t>
      </w:r>
      <w:r>
        <w:rPr>
          <w:rtl w:val="true"/>
        </w:rPr>
        <w:t xml:space="preserve">. </w:t>
      </w:r>
      <w:r>
        <w:rPr>
          <w:rtl w:val="true"/>
        </w:rPr>
        <w:t xml:space="preserve">היתרה תהא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ישוב ויעבור העבירה בה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 ירצה את עונשו בעבודות שירות לאחר שהביע הסכמתו לכך</w:t>
      </w:r>
      <w:r>
        <w:rPr>
          <w:rtl w:val="true"/>
        </w:rPr>
        <w:t xml:space="preserve">,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"</w:t>
      </w:r>
      <w:r>
        <w:rPr>
          <w:rtl w:val="true"/>
        </w:rPr>
        <w:t>הלל יפה</w:t>
      </w:r>
      <w:r>
        <w:rPr>
          <w:rtl w:val="true"/>
        </w:rPr>
        <w:t xml:space="preserve">". </w:t>
      </w:r>
      <w:r>
        <w:rPr>
          <w:rtl w:val="true"/>
        </w:rPr>
        <w:t>הכל על פי המלצת 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הנאשם יתייצב ביום </w:t>
      </w:r>
      <w:r>
        <w:rPr>
          <w:b/>
          <w:bCs/>
        </w:rPr>
        <w:t>30.9.09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בפני המפקח על עבודות השירות עד השעה </w:t>
      </w:r>
      <w:r>
        <w:rPr>
          <w:b/>
          <w:bCs/>
        </w:rPr>
        <w:t>09:00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/>
        <w:t>12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 מוזהר שעליו לבצע את עבודות 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 לא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עבודתו תופסק והוא ייכלא בכליאה של ממש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 המחוזי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כלי הנשק יחולט לטובת המדינה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בטי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ברייטברט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  <w:r>
        <w:rPr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/Users/liorb/Downloads/study2025-p2/SH-08-12-4382-667.doc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4382-12-08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גולן ארזי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154554" TargetMode="External"/><Relationship Id="rId7" Type="http://schemas.openxmlformats.org/officeDocument/2006/relationships/hyperlink" Target="http://www.nevo.co.il/case/6072945" TargetMode="External"/><Relationship Id="rId8" Type="http://schemas.openxmlformats.org/officeDocument/2006/relationships/hyperlink" Target="http://www.nevo.co.il/case/431175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2016-08-14T07:38:00Z</dcterms:created>
  <dc:creator> </dc:creator>
  <dc:description/>
  <cp:keywords/>
  <dc:language>en-IL</dc:language>
  <cp:lastModifiedBy>hofit</cp:lastModifiedBy>
  <dcterms:modified xsi:type="dcterms:W3CDTF">2016-08-14T07:38:00Z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גולן ארזי </vt:lpwstr>
  </property>
  <property fmtid="{D5CDD505-2E9C-101B-9397-08002B2CF9AE}" pid="4" name="CASESLISTTMP1">
    <vt:lpwstr>6154554;6072945;4311750</vt:lpwstr>
  </property>
  <property fmtid="{D5CDD505-2E9C-101B-9397-08002B2CF9AE}" pid="5" name="CITY">
    <vt:lpwstr>חד'</vt:lpwstr>
  </property>
  <property fmtid="{D5CDD505-2E9C-101B-9397-08002B2CF9AE}" pid="6" name="DATE">
    <vt:lpwstr>20090922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גינות</vt:lpwstr>
  </property>
  <property fmtid="{D5CDD505-2E9C-101B-9397-08002B2CF9AE}" pid="10" name="LAWLISTTMP1">
    <vt:lpwstr>70301/144.a</vt:lpwstr>
  </property>
  <property fmtid="{D5CDD505-2E9C-101B-9397-08002B2CF9AE}" pid="11" name="LAWYER">
    <vt:lpwstr>ליאור בנימין;נעמה שגיא 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4382</vt:lpwstr>
  </property>
  <property fmtid="{D5CDD505-2E9C-101B-9397-08002B2CF9AE}" pid="25" name="NEWPARTB">
    <vt:lpwstr>12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380020090922</vt:lpwstr>
  </property>
  <property fmtid="{D5CDD505-2E9C-101B-9397-08002B2CF9AE}" pid="37" name="TYPE_N_DATE">
    <vt:lpwstr>38020090922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