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43844-05-15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לבדה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מרשק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מרום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/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מחמוד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לבדה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גיורא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זילברשטיין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מסארווה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מרוואן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</w:t>
            </w:r>
            <w:r>
              <w:rPr>
                <w:rFonts w:eastAsia="David" w:ascii="David" w:hAnsi="David"/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גיורא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זילברשטיין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  <w:t xml:space="preserve">-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8" w:name="ABSTRACT_START"/>
      <w:bookmarkEnd w:id="8"/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שגובש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8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499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)(</w:t>
        </w:r>
        <w:r>
          <w:rPr>
            <w:rStyle w:val="Hyperlink"/>
            <w:rFonts w:cs="Calibri" w:ascii="Calibri" w:hAnsi="Calibri"/>
          </w:rPr>
          <w:t>1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[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"];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אביזר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1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2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+ </w:t>
      </w:r>
      <w:hyperlink r:id="rId13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אביזר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+ </w:t>
      </w:r>
      <w:hyperlink r:id="rId15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11.5.15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לטולכרם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11.5.15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לטולכרם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עטוף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בניילון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מטולכרם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וחיילי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לבדיקה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נתבקשו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לבסוף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החיילים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שהוסלקו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כ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7.4.16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הפרקליטים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הפרקליטות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11.4.16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נמשכה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טיעוני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נשמעו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בהגינותם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הקפידו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במפורש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הפרקליטות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להשמיע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שבועות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המגדלת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ולכיבוד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והוסיפה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עתידו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מסארווה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מהשטחים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כמסייע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לשיטתו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בוירוס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לעיוורון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טרגדיה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נפטר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במחצית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אוקטובר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70000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זילברשטיין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בהגינותו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זילברשטיין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התומכת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לשיטתו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11.5.15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הנאשם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בדברו לבית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 הביע דברי חרטה וביקש להתחשב במצבו הרפואי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 xml:space="preserve">הנאשם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 למור כי הוא מצטער על מה שקרה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rtl w:val="true"/>
          </w:rPr>
          <w:t>בסעיף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ascii="Calibri" w:hAnsi="Calibri" w:cs="Calibri"/>
            <w:rtl w:val="true"/>
          </w:rPr>
          <w:t>ג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ובבטחונו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מדאיגה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אזור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ובלשון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before="0" w:after="160"/>
        <w:ind w:start="1440" w:end="0"/>
        <w:jc w:val="both"/>
        <w:rPr/>
      </w:pPr>
      <w:r>
        <w:rPr>
          <w:rFonts w:cs="Calibri" w:ascii="Calibri" w:hAnsi="Calibri"/>
          <w:b/>
          <w:bCs/>
          <w:rtl w:val="true"/>
        </w:rPr>
        <w:t>"...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המבוצעות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לרבות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רכישה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טומנות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הרסני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ובטחונו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החשש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המוחזק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להביא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לקיפוח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אזרחים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תמימים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cs="Calibri" w:ascii="Calibri" w:hAnsi="Calibri"/>
          <w:b/>
          <w:bCs/>
          <w:rtl w:val="true"/>
        </w:rPr>
        <w:t>, '</w:t>
      </w:r>
      <w:r>
        <w:rPr>
          <w:rFonts w:ascii="Calibri" w:hAnsi="Calibri" w:cs="Calibri"/>
          <w:b/>
          <w:b/>
          <w:bCs/>
          <w:rtl w:val="true"/>
        </w:rPr>
        <w:t>התגלגלותם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פיקוח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להוביל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להגעתם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לגורמים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ועויינים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לדעת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יעלה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בגורלם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ולאלו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תוצאות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הרסניות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יובילו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ודוק</w:t>
      </w:r>
      <w:r>
        <w:rPr>
          <w:rFonts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שנשקף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צריך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להילקח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בחשבון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בידו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למטרת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אחרות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עצם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קטילה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פיקוח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הרשויות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טומן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נתון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לחשש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שיתפתה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ברגעי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ופחד</w:t>
      </w:r>
      <w:r>
        <w:rPr>
          <w:rFonts w:cs="Calibri" w:ascii="Calibri" w:hAnsi="Calibri"/>
          <w:b/>
          <w:bCs/>
          <w:rtl w:val="true"/>
        </w:rPr>
        <w:t xml:space="preserve">..."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19.1.14</w:t>
      </w:r>
      <w:r>
        <w:rPr>
          <w:rFonts w:cs="Calibri" w:ascii="Calibri" w:hAnsi="Calibri"/>
          <w:rtl w:val="true"/>
        </w:rPr>
        <w:t xml:space="preserve">] –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סולימאן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במפורש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מהשטחים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מהשטחים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המתוכנן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למחסום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התושייה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והמקצועיות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עדויותיהם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שמעתי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המורשעים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סולימאן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ואכן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ind w:start="1440" w:end="0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המציאות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בארץ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המתבטאת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בזמינותו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עוצמה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להסלמת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האלימות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העבריינית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מחייבת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שירתיע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באופן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בפרט</w:t>
      </w:r>
      <w:r>
        <w:rPr>
          <w:rFonts w:cs="Calibri" w:ascii="Calibri" w:hAnsi="Calibri"/>
          <w:b/>
          <w:bCs/>
          <w:rtl w:val="true"/>
        </w:rPr>
        <w:t xml:space="preserve">..." </w:t>
      </w:r>
      <w:r>
        <w:rPr>
          <w:rFonts w:cs="Calibri" w:ascii="Calibri" w:hAnsi="Calibri"/>
          <w:rtl w:val="true"/>
        </w:rPr>
        <w:t xml:space="preserve">(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2918/13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דבס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18.7.13</w:t>
      </w:r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>בפיסקה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מפסיקת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לעיתים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מותאמת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: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4329/10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25.10.10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למערער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סטודנט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נצור</w:t>
      </w:r>
      <w:r>
        <w:rPr>
          <w:rFonts w:cs="Calibri" w:ascii="Calibri" w:hAnsi="Calibri"/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761/07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22.02.07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>, "</w:t>
      </w:r>
      <w:r>
        <w:rPr>
          <w:rFonts w:ascii="Calibri" w:hAnsi="Calibri" w:cs="Calibri"/>
          <w:rtl w:val="true"/>
        </w:rPr>
        <w:t>חלקן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עטופים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ומוסתרים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בתחתוניו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4982/15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שחיטה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3.9.15</w:t>
      </w:r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התלבטות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והעמידו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2892/13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עודתאללה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29.9.13</w:t>
      </w:r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מוסתר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השטיחון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בחסימה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אלמנט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הרלבנטיים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המתבקשות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cs="Calibri" w:ascii="Calibri" w:hAnsi="Calibri"/>
          <w:b/>
          <w:bCs/>
        </w:rPr>
        <w:t>40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ולנתוניו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ונורמטיבית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לעומת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ההסתבכות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דומיננטי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ובהסתרת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הולמת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 w:before="0" w:after="160"/>
        <w:ind w:hanging="720" w:start="720" w:end="0"/>
        <w:jc w:val="both"/>
        <w:rPr>
          <w:rFonts w:ascii="Symbol" w:hAnsi="Symbol" w:cs="Symbol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Symbol" w:hAnsi="Symbol" w:cs="Symbol"/>
          <w:rtl w:val="true"/>
        </w:rPr>
        <w:sym w:font="Symbol" w:char="5dc"/>
        <w:sym w:font="Symbol" w:char="5d0"/>
        <w:sym w:font="Symbol" w:char="5d7"/>
        <w:sym w:font="Symbol" w:char="5e8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9"/>
        <w:sym w:font="Symbol" w:char="5e9"/>
        <w:sym w:font="Symbol" w:char="5e7"/>
        <w:sym w:font="Symbol" w:char="5dc"/>
        <w:sym w:font="Symbol" w:char="5ea"/>
        <w:sym w:font="Symbol" w:char="5d9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0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e"/>
        <w:sym w:font="Symbol" w:char="5db"/>
        <w:sym w:font="Symbol" w:char="5dc"/>
        <w:sym w:font="Symbol" w:char="5d5"/>
        <w:sym w:font="Symbol" w:char="5dc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e9"/>
        <w:sym w:font="Symbol" w:char="5d9"/>
        <w:sym w:font="Symbol" w:char="5e7"/>
        <w:sym w:font="Symbol" w:char="5d5"/>
        <w:sym w:font="Symbol" w:char="5dc"/>
        <w:sym w:font="Symbol" w:char="5d9"/>
        <w:sym w:font="Symbol" w:char="5dd"/>
      </w:r>
      <w:r>
        <w:rPr>
          <w:rFonts w:cs="Symbol" w:ascii="Symbol" w:hAnsi="Symbol"/>
          <w:rtl w:val="true"/>
        </w:rPr>
        <w:sym w:font="Symbol" w:char="2c"/>
        <w:sym w:font="Symbol" w:char="20"/>
      </w:r>
      <w:r>
        <w:rPr>
          <w:rFonts w:ascii="Symbol" w:hAnsi="Symbol" w:cs="Symbol"/>
          <w:rtl w:val="true"/>
        </w:rPr>
        <w:sym w:font="Symbol" w:char="5db"/>
        <w:sym w:font="Symbol" w:char="5e9"/>
        <w:sym w:font="Symbol" w:char="5d4"/>
        <w:sym w:font="Symbol" w:char="5ea"/>
        <w:sym w:font="Symbol" w:char="5d7"/>
        <w:sym w:font="Symbol" w:char="5e9"/>
        <w:sym w:font="Symbol" w:char="5d1"/>
        <w:sym w:font="Symbol" w:char="5ea"/>
        <w:sym w:font="Symbol" w:char="5d9"/>
      </w:r>
      <w:r>
        <w:rPr>
          <w:rFonts w:cs="Symbol" w:ascii="Symbol" w:hAnsi="Symbol"/>
          <w:rtl w:val="true"/>
        </w:rPr>
        <w:sym w:font="Symbol" w:char="2c"/>
        <w:sym w:font="Symbol" w:char="20"/>
      </w:r>
      <w:r>
        <w:rPr>
          <w:rFonts w:ascii="Symbol" w:hAnsi="Symbol" w:cs="Symbol"/>
          <w:rtl w:val="true"/>
        </w:rPr>
        <w:sym w:font="Symbol" w:char="5d1"/>
        <w:sym w:font="Symbol" w:char="5d9"/>
        <w:sym w:font="Symbol" w:char="5df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e9"/>
        <w:sym w:font="Symbol" w:char="5d0"/>
        <w:sym w:font="Symbol" w:char="5e8"/>
      </w:r>
      <w:r>
        <w:rPr>
          <w:rFonts w:cs="Symbol" w:ascii="Symbol" w:hAnsi="Symbol"/>
          <w:rtl w:val="true"/>
        </w:rPr>
        <w:sym w:font="Symbol" w:char="2c"/>
        <w:sym w:font="Symbol" w:char="20"/>
      </w:r>
      <w:r>
        <w:rPr>
          <w:rFonts w:ascii="Symbol" w:hAnsi="Symbol" w:cs="Symbol"/>
          <w:rtl w:val="true"/>
        </w:rPr>
        <w:sym w:font="Symbol" w:char="5d1"/>
        <w:sym w:font="Symbol" w:char="5e0"/>
        <w:sym w:font="Symbol" w:char="5e1"/>
        <w:sym w:font="Symbol" w:char="5d9"/>
        <w:sym w:font="Symbol" w:char="5d1"/>
        <w:sym w:font="Symbol" w:char="5d5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de"/>
        <w:sym w:font="Symbol" w:char="5e2"/>
        <w:sym w:font="Symbol" w:char="5e9"/>
        <w:sym w:font="Symbol" w:char="5d9"/>
        <w:sym w:font="Symbol" w:char="5dd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5"/>
        <w:sym w:font="Symbol" w:char="5d4"/>
        <w:sym w:font="Symbol" w:char="5e2"/>
        <w:sym w:font="Symbol" w:char="5d5"/>
        <w:sym w:font="Symbol" w:char="5e9"/>
        <w:sym w:font="Symbol" w:char="5d4"/>
      </w:r>
      <w:r>
        <w:rPr>
          <w:rFonts w:cs="Symbol" w:ascii="Symbol" w:hAnsi="Symbol"/>
          <w:rtl w:val="true"/>
        </w:rPr>
        <w:sym w:font="Symbol" w:char="2c"/>
        <w:sym w:font="Symbol" w:char="20"/>
      </w:r>
      <w:r>
        <w:rPr>
          <w:rFonts w:ascii="Symbol" w:hAnsi="Symbol" w:cs="Symbol"/>
          <w:rtl w:val="true"/>
        </w:rPr>
        <w:sym w:font="Symbol" w:char="5ea"/>
        <w:sym w:font="Symbol" w:char="5d5"/>
        <w:sym w:font="Symbol" w:char="5d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9"/>
        <w:sym w:font="Symbol" w:char="5de"/>
        <w:sym w:font="Symbol" w:char="5d9"/>
        <w:sym w:font="Symbol" w:char="5e8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9"/>
        <w:sym w:font="Symbol" w:char="5d7"/>
        <w:sym w:font="Symbol" w:char="5e1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d5"/>
        <w:sym w:font="Symbol" w:char="5dc"/>
        <w:sym w:font="Symbol" w:char="5dd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1"/>
        <w:sym w:font="Symbol" w:char="5d9"/>
        <w:sym w:font="Symbol" w:char="5df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7"/>
        <w:sym w:font="Symbol" w:char="5d5"/>
        <w:sym w:font="Symbol" w:char="5de"/>
        <w:sym w:font="Symbol" w:char="5e8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e"/>
        <w:sym w:font="Symbol" w:char="5db"/>
        <w:sym w:font="Symbol" w:char="5dc"/>
        <w:sym w:font="Symbol" w:char="5d5"/>
        <w:sym w:font="Symbol" w:char="5dc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de"/>
        <w:sym w:font="Symbol" w:char="5e2"/>
        <w:sym w:font="Symbol" w:char="5e9"/>
        <w:sym w:font="Symbol" w:char="5d9"/>
        <w:sym w:font="Symbol" w:char="5dd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5"/>
        <w:sym w:font="Symbol" w:char="5de"/>
        <w:sym w:font="Symbol" w:char="5d9"/>
        <w:sym w:font="Symbol" w:char="5d3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0"/>
        <w:sym w:font="Symbol" w:char="5e9"/>
        <w:sym w:font="Symbol" w:char="5de"/>
        <w:sym w:font="Symbol" w:char="5d5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9"/>
        <w:sym w:font="Symbol" w:char="5dc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b"/>
        <w:sym w:font="Symbol" w:char="5dc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0"/>
        <w:sym w:font="Symbol" w:char="5d7"/>
        <w:sym w:font="Symbol" w:char="5d3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e"/>
        <w:sym w:font="Symbol" w:char="5d4"/>
        <w:sym w:font="Symbol" w:char="5e0"/>
        <w:sym w:font="Symbol" w:char="5d0"/>
        <w:sym w:font="Symbol" w:char="5e9"/>
        <w:sym w:font="Symbol" w:char="5de"/>
        <w:sym w:font="Symbol" w:char="5d9"/>
        <w:sym w:font="Symbol" w:char="5dd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c"/>
        <w:sym w:font="Symbol" w:char="5d1"/>
        <w:sym w:font="Symbol" w:char="5d9"/>
        <w:sym w:font="Symbol" w:char="5df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a"/>
        <w:sym w:font="Symbol" w:char="5e7"/>
        <w:sym w:font="Symbol" w:char="5d5"/>
        <w:sym w:font="Symbol" w:char="5e4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de"/>
        <w:sym w:font="Symbol" w:char="5d0"/>
        <w:sym w:font="Symbol" w:char="5e1"/>
        <w:sym w:font="Symbol" w:char="5e8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9"/>
        <w:sym w:font="Symbol" w:char="5e2"/>
        <w:sym w:font="Symbol" w:char="5dc"/>
        <w:sym w:font="Symbol" w:char="5d9"/>
        <w:sym w:font="Symbol" w:char="5d5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c"/>
        <w:sym w:font="Symbol" w:char="5e9"/>
        <w:sym w:font="Symbol" w:char="5d0"/>
        <w:sym w:font="Symbol" w:char="5ea"/>
      </w:r>
      <w:r>
        <w:rPr>
          <w:rFonts w:cs="Symbol" w:ascii="Symbol" w:hAnsi="Symbol"/>
          <w:rtl w:val="true"/>
        </w:rPr>
        <w:sym w:font="Symbol" w:char="2c"/>
        <w:sym w:font="Symbol" w:char="20"/>
      </w:r>
      <w:r>
        <w:rPr>
          <w:rFonts w:ascii="Symbol" w:hAnsi="Symbol" w:cs="Symbol"/>
          <w:rtl w:val="true"/>
        </w:rPr>
        <w:sym w:font="Symbol" w:char="5d0"/>
        <w:sym w:font="Symbol" w:char="5e0"/>
        <w:sym w:font="Symbol" w:char="5d9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2"/>
        <w:sym w:font="Symbol" w:char="5d5"/>
        <w:sym w:font="Symbol" w:char="5d6"/>
        <w:sym w:font="Symbol" w:char="5e8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0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3"/>
        <w:sym w:font="Symbol" w:char="5d9"/>
        <w:sym w:font="Symbol" w:char="5e0"/>
        <w:sym w:font="Symbol" w:char="5dd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9"/>
        <w:sym w:font="Symbol" w:char="5dc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e0"/>
        <w:sym w:font="Symbol" w:char="5d0"/>
        <w:sym w:font="Symbol" w:char="5e9"/>
        <w:sym w:font="Symbol" w:char="5de"/>
        <w:sym w:font="Symbol" w:char="5d9"/>
        <w:sym w:font="Symbol" w:char="5dd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b"/>
        <w:sym w:font="Symbol" w:char="5d3"/>
        <w:sym w:font="Symbol" w:char="5dc"/>
        <w:sym w:font="Symbol" w:char="5e7"/>
        <w:sym w:font="Symbol" w:char="5de"/>
        <w:sym w:font="Symbol" w:char="5df"/>
      </w:r>
      <w:r>
        <w:rPr>
          <w:rFonts w:cs="Symbol" w:ascii="Symbol" w:hAnsi="Symbol"/>
          <w:rtl w:val="true"/>
        </w:rPr>
        <w:sym w:font="Symbol" w:char="3a"/>
        <w:sym w:font="Symbol" w:char="20"/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 w:before="0" w:after="160"/>
        <w:ind w:hanging="720" w:start="720" w:end="0"/>
        <w:jc w:val="both"/>
        <w:rPr>
          <w:rFonts w:ascii="Symbol" w:hAnsi="Symbol" w:cs="Symbol"/>
        </w:rPr>
      </w:pPr>
      <w:r>
        <w:rPr>
          <w:rFonts w:cs="Symbol" w:ascii="Symbol" w:hAnsi="Symbol"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 w:before="0" w:after="160"/>
        <w:ind w:hanging="720" w:start="720" w:end="0"/>
        <w:jc w:val="both"/>
        <w:rPr/>
      </w:pPr>
      <w:r>
        <w:rPr>
          <w:rFonts w:cs="Symbol" w:ascii="Symbol" w:hAnsi="Symbol"/>
          <w:rtl w:val="true"/>
        </w:rPr>
        <w:tab/>
        <w:tab/>
      </w:r>
      <w:r>
        <w:rPr>
          <w:rFonts w:ascii="Symbol" w:hAnsi="Symbol" w:cs="Symbol"/>
          <w:u w:val="single"/>
          <w:rtl w:val="true"/>
        </w:rPr>
        <w:sym w:font="Symbol" w:char="5dc"/>
        <w:sym w:font="Symbol" w:char="5d2"/>
        <w:sym w:font="Symbol" w:char="5d1"/>
        <w:sym w:font="Symbol" w:char="5d9"/>
      </w:r>
      <w:r>
        <w:rPr>
          <w:rFonts w:ascii="Symbol" w:hAnsi="Symbol" w:cs="Symbol"/>
          <w:u w:val="single"/>
          <w:rtl w:val="true"/>
        </w:rPr>
        <w:sym w:font="Symbol" w:char="20"/>
      </w:r>
      <w:r>
        <w:rPr>
          <w:rFonts w:ascii="Symbol" w:hAnsi="Symbol" w:cs="Symbol"/>
          <w:u w:val="single"/>
          <w:rtl w:val="true"/>
        </w:rPr>
        <w:sym w:font="Symbol" w:char="5e0"/>
        <w:sym w:font="Symbol" w:char="5d0"/>
        <w:sym w:font="Symbol" w:char="5e9"/>
        <w:sym w:font="Symbol" w:char="5dd"/>
      </w:r>
      <w:r>
        <w:rPr>
          <w:rFonts w:ascii="Symbol" w:hAnsi="Symbol" w:cs="Symbol"/>
          <w:u w:val="single"/>
          <w:rtl w:val="true"/>
        </w:rPr>
        <w:sym w:font="Symbol" w:char="20"/>
      </w:r>
      <w:r>
        <w:rPr>
          <w:rFonts w:cs="Symbol" w:ascii="Symbol" w:hAnsi="Symbol"/>
          <w:u w:val="single"/>
        </w:rPr>
        <w:sym w:font="Symbol" w:char="31"/>
      </w:r>
      <w:r>
        <w:rPr>
          <w:rFonts w:cs="Symbol" w:ascii="Symbol" w:hAnsi="Symbol"/>
          <w:u w:val="single"/>
          <w:rtl w:val="true"/>
        </w:rPr>
        <w:sym w:font="Symbol" w:char="3a"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11.5.15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21.6.15</w:t>
      </w:r>
      <w:r>
        <w:rPr>
          <w:rFonts w:cs="Calibri" w:ascii="Calibri" w:hAnsi="Calibri"/>
          <w:rtl w:val="true"/>
        </w:rPr>
        <w:t xml:space="preserve">; </w:t>
      </w:r>
      <w:r>
        <w:rPr>
          <w:rFonts w:cs="Calibri" w:ascii="Calibri" w:hAnsi="Calibri"/>
        </w:rPr>
        <w:t>18.10.15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סיוע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ערבויות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חילוט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כספיים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 w:before="0" w:after="160"/>
        <w:ind w:hanging="720" w:start="720" w:end="0"/>
        <w:jc w:val="both"/>
        <w:rPr/>
      </w:pPr>
      <w:r>
        <w:rPr>
          <w:rFonts w:ascii="Symbol" w:hAnsi="Symbol" w:cs="Symbol"/>
          <w:u w:val="single"/>
          <w:rtl w:val="true"/>
        </w:rPr>
        <w:sym w:font="Symbol" w:char="5dc"/>
        <w:sym w:font="Symbol" w:char="5d2"/>
        <w:sym w:font="Symbol" w:char="5d1"/>
        <w:sym w:font="Symbol" w:char="5d9"/>
      </w:r>
      <w:r>
        <w:rPr>
          <w:rFonts w:ascii="Symbol" w:hAnsi="Symbol" w:cs="Symbol"/>
          <w:u w:val="single"/>
          <w:rtl w:val="true"/>
        </w:rPr>
        <w:sym w:font="Symbol" w:char="20"/>
      </w:r>
      <w:r>
        <w:rPr>
          <w:rFonts w:ascii="Symbol" w:hAnsi="Symbol" w:cs="Symbol"/>
          <w:u w:val="single"/>
          <w:rtl w:val="true"/>
        </w:rPr>
        <w:sym w:font="Symbol" w:char="5e0"/>
        <w:sym w:font="Symbol" w:char="5d0"/>
        <w:sym w:font="Symbol" w:char="5e9"/>
        <w:sym w:font="Symbol" w:char="5dd"/>
      </w:r>
      <w:r>
        <w:rPr>
          <w:rFonts w:ascii="Symbol" w:hAnsi="Symbol" w:cs="Symbol"/>
          <w:u w:val="single"/>
          <w:rtl w:val="true"/>
        </w:rPr>
        <w:sym w:font="Symbol" w:char="20"/>
      </w:r>
      <w:r>
        <w:rPr>
          <w:rFonts w:cs="Symbol" w:ascii="Symbol" w:hAnsi="Symbol"/>
          <w:u w:val="single"/>
        </w:rPr>
        <w:sym w:font="Symbol" w:char="32"/>
      </w:r>
      <w:r>
        <w:rPr>
          <w:rFonts w:cs="Symbol" w:ascii="Symbol" w:hAnsi="Symbol"/>
          <w:u w:val="single"/>
          <w:rtl w:val="true"/>
        </w:rPr>
        <w:sym w:font="Symbol" w:char="3a"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11.5.15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האופרטיבית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לשחררו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לאלתר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סיוע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כספיים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>ניתן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צו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לחילוט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רכבו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התפוס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הנאשם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</w:t>
      </w:r>
      <w:r>
        <w:rPr>
          <w:rFonts w:cs="David" w:ascii="David" w:hAnsi="David"/>
          <w:u w:val="single"/>
          <w:rtl w:val="true"/>
        </w:rPr>
        <w:t>.</w:t>
      </w:r>
      <w:r>
        <w:rPr>
          <w:rFonts w:ascii="David" w:hAnsi="David"/>
          <w:u w:val="single"/>
          <w:rtl w:val="true"/>
        </w:rPr>
        <w:t>ר</w:t>
      </w:r>
      <w:r>
        <w:rPr>
          <w:rFonts w:cs="David" w:ascii="David" w:hAnsi="David"/>
          <w:u w:val="single"/>
          <w:rtl w:val="true"/>
        </w:rPr>
        <w:t xml:space="preserve">. </w:t>
      </w:r>
      <w:r>
        <w:rPr>
          <w:rFonts w:cs="David" w:ascii="David" w:hAnsi="David"/>
          <w:u w:val="single"/>
        </w:rPr>
        <w:t>9381536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הודעה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זכות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ערעור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לבית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המשפט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העליון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תוך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</w:t>
      </w:r>
      <w:r>
        <w:rPr>
          <w:rFonts w:cs="David" w:ascii="David" w:hAnsi="David"/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43844-05-15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אבו לבדה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3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c.a" TargetMode="External"/><Relationship Id="rId18" Type="http://schemas.openxmlformats.org/officeDocument/2006/relationships/hyperlink" Target="http://www.nevo.co.il/case/7791493" TargetMode="External"/><Relationship Id="rId19" Type="http://schemas.openxmlformats.org/officeDocument/2006/relationships/hyperlink" Target="http://www.nevo.co.il/case/6950458" TargetMode="External"/><Relationship Id="rId20" Type="http://schemas.openxmlformats.org/officeDocument/2006/relationships/hyperlink" Target="http://www.nevo.co.il/case/5950172" TargetMode="External"/><Relationship Id="rId21" Type="http://schemas.openxmlformats.org/officeDocument/2006/relationships/hyperlink" Target="http://www.nevo.co.il/case/5724364" TargetMode="External"/><Relationship Id="rId22" Type="http://schemas.openxmlformats.org/officeDocument/2006/relationships/hyperlink" Target="http://www.nevo.co.il/case/20446658" TargetMode="External"/><Relationship Id="rId23" Type="http://schemas.openxmlformats.org/officeDocument/2006/relationships/hyperlink" Target="http://www.nevo.co.il/case/6949290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2017-01-10T13:53:00Z</dcterms:created>
  <dc:creator> </dc:creator>
  <dc:description/>
  <cp:keywords/>
  <dc:language>en-IL</dc:language>
  <cp:lastModifiedBy>Tali-a</cp:lastModifiedBy>
  <dcterms:modified xsi:type="dcterms:W3CDTF">2017-01-10T13:53:00Z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אבו לבדה;מרוואן מסרי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7791493;6950458;5950172;5724364;20446658;6949290</vt:lpwstr>
  </property>
  <property fmtid="{D5CDD505-2E9C-101B-9397-08002B2CF9AE}" pid="9" name="CITY">
    <vt:lpwstr>מרכז</vt:lpwstr>
  </property>
  <property fmtid="{D5CDD505-2E9C-101B-9397-08002B2CF9AE}" pid="10" name="DATE">
    <vt:lpwstr>20160501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מרום</vt:lpwstr>
  </property>
  <property fmtid="{D5CDD505-2E9C-101B-9397-08002B2CF9AE}" pid="14" name="LAWLISTTMP1">
    <vt:lpwstr>70301/499.a.1;144.b:2;144.a:2;031:2;040c.a</vt:lpwstr>
  </property>
  <property fmtid="{D5CDD505-2E9C-101B-9397-08002B2CF9AE}" pid="15" name="LAWYER">
    <vt:lpwstr>נעמה טל;גיורא זילברשטיין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43844</vt:lpwstr>
  </property>
  <property fmtid="{D5CDD505-2E9C-101B-9397-08002B2CF9AE}" pid="22" name="NEWPARTB">
    <vt:lpwstr>05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390020160501</vt:lpwstr>
  </property>
  <property fmtid="{D5CDD505-2E9C-101B-9397-08002B2CF9AE}" pid="34" name="TYPE_N_DATE">
    <vt:lpwstr>39020160501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