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43957-09-20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חוסיין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חוסיין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Cs/>
          <w:sz w:val="26"/>
          <w:szCs w:val="26"/>
          <w:u w:val="single"/>
        </w:rPr>
      </w:pPr>
      <w:r>
        <w:rPr>
          <w:rFonts w:cs="Arial" w:ascii="Arial" w:hAnsi="Arial"/>
          <w:bCs/>
          <w:sz w:val="26"/>
          <w:szCs w:val="26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bookmarkStart w:id="10" w:name="ABSTRACT_END"/>
      <w:bookmarkEnd w:id="10"/>
      <w:r>
        <w:rPr>
          <w:rFonts w:ascii="Miriam" w:hAnsi="Miriam" w:cs="Miriam"/>
          <w:b/>
          <w:b/>
          <w:bCs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tl w:val="true"/>
        </w:rPr>
        <w:t xml:space="preserve">.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מג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טאלב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בטריה</w:t>
      </w:r>
      <w:r>
        <w:rPr>
          <w:rtl w:val="true"/>
        </w:rPr>
        <w:t xml:space="preserve">",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וסים</w:t>
      </w:r>
      <w:r>
        <w:rPr>
          <w:rtl w:val="true"/>
        </w:rPr>
        <w:t xml:space="preserve">)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1.8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27/8/20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21:46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השלושה</w:t>
      </w:r>
      <w:r>
        <w:rPr>
          <w:rtl w:val="true"/>
        </w:rPr>
        <w:t xml:space="preserve">),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הקשר</w:t>
      </w:r>
      <w:r>
        <w:rPr>
          <w:rtl w:val="true"/>
        </w:rPr>
        <w:t xml:space="preserve">),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26/8/20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וביצועו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21:46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21:55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סינוור</w:t>
      </w:r>
      <w:r>
        <w:rPr>
          <w:rFonts w:cs="Times New Roman"/>
          <w:rtl w:val="true"/>
        </w:rPr>
        <w:t xml:space="preserve"> </w:t>
      </w:r>
      <w:r>
        <w:rPr/>
        <w:t>M7290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21:59</w:t>
      </w:r>
      <w:r>
        <w:rPr>
          <w:rtl w:val="true"/>
        </w:rPr>
        <w:t xml:space="preserve">, </w:t>
      </w:r>
      <w:r>
        <w:rPr>
          <w:rtl w:val="true"/>
        </w:rPr>
        <w:t>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22:09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מימושו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מהטרקטורון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וטאלב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22:17</w:t>
      </w:r>
      <w:r>
        <w:rPr>
          <w:rtl w:val="true"/>
        </w:rPr>
        <w:t xml:space="preserve">,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22:19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30/8/20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ind w:end="0"/>
        <w:jc w:val="both"/>
        <w:rPr>
          <w:rFonts w:ascii="Miriam" w:hAnsi="Miriam" w:cs="Miriam"/>
          <w:b/>
          <w:bCs/>
          <w:sz w:val="26"/>
          <w:szCs w:val="26"/>
          <w:u w:val="single"/>
        </w:rPr>
      </w:pPr>
      <w:r>
        <w:rPr>
          <w:rFonts w:cs="Miriam" w:ascii="Miriam" w:hAnsi="Miriam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rtl w:val="true"/>
        </w:rPr>
        <w:t>מתסקירו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13/4/21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16/4/21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08/06/21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16/04/21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הקוגניטיביו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 את טיעוני המאשימה לעונש  בכתב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והוסיף וטען בקצרה 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פה בדיון לפניי ביום </w:t>
      </w:r>
      <w:r>
        <w:rPr>
          <w:rFonts w:cs="David" w:ascii="David" w:hAnsi="David"/>
        </w:rPr>
        <w:t>13/6/21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בטיעוניה לעונש הבהירה המאשימה כי עברו הפלילי של הנאשם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מגמת הפסיקה בשנים האחרונות לגבי עבירות נשק היא של החמרה בענישה  ובכך  ניתן ביטוי ההולם את הסכנה הנשקפת  מעבירות אלו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טוענת כי עסקינן במעשים שבוצעו לאחר תכנון קפדני ומדוקדק כעולה מכתב האישום וכי הנאשם וטאלב יצאו בפועל לעבר 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במאובחן ממג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 שלא יצא לזירת הפעולה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לשיטת המאשימה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הנאשם הוא האחראי העיקרי – הוא נכח במקום והוא זה שזרק את הרימון לעבר הבית לאחר  שקשר קשר והיה שותף מלא להתארגנות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 לנאשם מניע לפעולה בהינתן הרקע למעשים הנעוץ בפסילת מכרז בו השתתפו בני משפחת חברו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צוין כי הנזק הישיר </w:t>
      </w:r>
      <w:r>
        <w:rPr>
          <w:rFonts w:ascii="David" w:hAnsi="David"/>
          <w:rtl w:val="true"/>
        </w:rPr>
        <w:t xml:space="preserve">שנגרם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קול</w:t>
      </w:r>
      <w:r>
        <w:rPr>
          <w:rFonts w:ascii="David" w:hAnsi="David"/>
          <w:rtl w:val="true"/>
        </w:rPr>
        <w:t xml:space="preserve"> הנפץ וסימני הפיח במרפסת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הנזק האמ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תי הוא אובדן תחושת הביטחון של אדם היושב בביתו ושומע  קולות נפץ המעלים תחושה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הבית אינו מ</w:t>
      </w:r>
      <w:r>
        <w:rPr>
          <w:rFonts w:ascii="David" w:hAnsi="David"/>
          <w:rtl w:val="true"/>
        </w:rPr>
        <w:t xml:space="preserve">הווה </w:t>
      </w:r>
      <w:r>
        <w:rPr>
          <w:rFonts w:ascii="David" w:hAnsi="David"/>
          <w:rtl w:val="true"/>
        </w:rPr>
        <w:t>מבצר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נטען כי אין להקל ראש בנזק שכזה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על רקע כל האלימות הגואה במגזר הערבי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אשר לנזק הפוטנציאלי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בכוחו של הרימון להזיק לאדם 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והיה עומד אדם על מרפסת</w:t>
      </w:r>
      <w:r>
        <w:rPr>
          <w:rFonts w:ascii="David" w:hAnsi="David"/>
          <w:rtl w:val="true"/>
        </w:rPr>
        <w:t xml:space="preserve"> 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עלול להיגרם נזק חמור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פגיעה גופנית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המאשימה טוענת כי על בית המשפט לסייע במיגור תופעות כגון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שבפנינו וזאת בדרך של ענישה מחמירה אף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מדובר ברימון הלם הנתפס בפסיקה כאמצעי לחימה פחות חמור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החומרה שבפנינו נעוצה בתעוזה שבהשלכת רימון לבית סגן ראש מועצה אך בשל ביטול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מכרז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מתבקש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המאשימה לשגר מסר לפיו לא מיישבים סכסוך אזרחי באמצעות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מטיעוני המאשימה לעונש עולה כי  הערכים החברתיים שנפגעו במקרה דנן הם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ביטחונו האישי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בריאות ושלמות גופו של המתלונן ושל הציבור בכלל וכן 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כי שימוש מסוכן  בכלי  נשק בידי בלתי מורשים ופעילות עבריינות פלילית 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ביטחונית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עלולים להביא לפגיעה בגוף ולעיתים אף ל</w:t>
      </w:r>
      <w:r>
        <w:rPr>
          <w:rFonts w:ascii="David" w:hAnsi="David"/>
          <w:rtl w:val="true"/>
        </w:rPr>
        <w:t>קיפו</w:t>
      </w:r>
      <w:r>
        <w:rPr>
          <w:rFonts w:ascii="David" w:hAnsi="David"/>
          <w:rtl w:val="true"/>
        </w:rPr>
        <w:t>ח חיי אזרחים תמימים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להמחשת מדיניות הענישה הנהוגה בעבירות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לפסקי דין שונים של 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כאן יוער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פסיקה ה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מתייחסת בעיקרה לכלי נשק ש</w:t>
      </w:r>
      <w:r>
        <w:rPr>
          <w:rFonts w:ascii="David" w:hAnsi="David"/>
          <w:rtl w:val="true"/>
        </w:rPr>
        <w:t>מסוכנותם</w:t>
      </w:r>
      <w:r>
        <w:rPr>
          <w:rFonts w:ascii="David" w:hAnsi="David"/>
          <w:rtl w:val="true"/>
        </w:rPr>
        <w:t xml:space="preserve"> רבה יותר מ</w:t>
      </w:r>
      <w:r>
        <w:rPr>
          <w:rFonts w:ascii="David" w:hAnsi="David"/>
          <w:rtl w:val="true"/>
        </w:rPr>
        <w:t xml:space="preserve">זו של </w:t>
      </w:r>
      <w:r>
        <w:rPr>
          <w:rFonts w:ascii="David" w:hAnsi="David"/>
          <w:rtl w:val="true"/>
        </w:rPr>
        <w:t>רימון ההלם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המאשימה  מבקשת שלא לאמץ את המלצת שירות המבחן תוך שהיא טוענת כי הנאשם הגיע לזירת האירוע כחלק מתוכנית עבריינית שמטרתה להטיל מורא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הוא </w:t>
      </w:r>
      <w:r>
        <w:rPr>
          <w:rFonts w:ascii="David" w:hAnsi="David"/>
          <w:rtl w:val="true"/>
        </w:rPr>
        <w:t xml:space="preserve">שותף מלא ועיקרי לכל </w:t>
      </w:r>
      <w:r>
        <w:rPr>
          <w:rFonts w:ascii="David" w:hAnsi="David"/>
          <w:rtl w:val="true"/>
        </w:rPr>
        <w:t>שלבי האירוע ו</w:t>
      </w:r>
      <w:r>
        <w:rPr>
          <w:rFonts w:ascii="David" w:hAnsi="David"/>
          <w:rtl w:val="true"/>
        </w:rPr>
        <w:t>על נסיבותיו האישיות לסגת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בסוג זה של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האינטרס הציבורי שבמיצוי הדין עמו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סבורה המאשימה כי מתחם העונש ההולם בתיק זה עומד על </w:t>
      </w:r>
      <w:r>
        <w:rPr>
          <w:rFonts w:cs="David" w:ascii="David" w:hAnsi="David"/>
        </w:rPr>
        <w:t>4-2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r>
        <w:rPr>
          <w:rFonts w:ascii="David" w:hAnsi="David"/>
          <w:rtl w:val="true"/>
        </w:rPr>
        <w:t xml:space="preserve">רכיבי </w:t>
      </w:r>
      <w:r>
        <w:rPr>
          <w:rFonts w:ascii="David" w:hAnsi="David"/>
          <w:rtl w:val="true"/>
        </w:rPr>
        <w:t>ענישה של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להשית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המצוי ברף האמצעי של מתחם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המאשימה הבהירה כי על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ד נגזר עונש 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ותוך כך טענה כי חלקו של</w:t>
      </w:r>
      <w:r>
        <w:rPr>
          <w:rFonts w:ascii="David" w:hAnsi="David"/>
          <w:rtl w:val="true"/>
        </w:rPr>
        <w:t xml:space="preserve"> הנאשם גדול יותר בהיותו  משליך הרימון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הבהיר כי ייצג את טאלב  הנזכר בכתב האישום וכי עניינו קבוע בבית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בפני 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למתן חוות דעת הממונה על עבודות השירות ולמתן גזר דין ליום </w:t>
      </w:r>
      <w:r>
        <w:rPr>
          <w:rFonts w:cs="David" w:ascii="David" w:hAnsi="David"/>
        </w:rPr>
        <w:t>4/7/21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מהחלטת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פורת בעניינו של טאלב שניתנה ביום </w:t>
      </w:r>
      <w:r>
        <w:rPr>
          <w:rFonts w:cs="David" w:ascii="David" w:hAnsi="David"/>
        </w:rPr>
        <w:t>9/6/21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43952-09-20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כי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ד הוא הדומיננטי בפרשה </w:t>
      </w:r>
      <w:r>
        <w:rPr>
          <w:rFonts w:cs="David" w:ascii="David" w:hAnsi="David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David" w:ascii="David" w:hAnsi="David"/>
          <w:rtl w:val="true"/>
        </w:rPr>
        <w:t xml:space="preserve">).  </w:t>
      </w:r>
      <w:r>
        <w:rPr>
          <w:rFonts w:ascii="David" w:hAnsi="David"/>
          <w:rtl w:val="true"/>
        </w:rPr>
        <w:t>הוטעם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הסנגור בעניין זה כי הסכסוך האזרחי מקורו במכרז בו לא זכה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מטיעוני הסנגור גם עולה כי בעניינו של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 קבע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השופט פורת מתחם עונש הולם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הסנגור הפנה בטיעוניו לתסקירו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ממנו עולה כי הנאשם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בקבוצה טיפולית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אפשרו</w:t>
      </w:r>
      <w:r>
        <w:rPr>
          <w:rFonts w:ascii="David" w:hAnsi="David"/>
          <w:rtl w:val="true"/>
        </w:rPr>
        <w:t>ת ל</w:t>
      </w:r>
      <w:r>
        <w:rPr>
          <w:rFonts w:ascii="David" w:hAnsi="David"/>
          <w:rtl w:val="true"/>
        </w:rPr>
        <w:t>שיקו</w:t>
      </w:r>
      <w:r>
        <w:rPr>
          <w:rFonts w:ascii="David" w:hAnsi="David"/>
          <w:rtl w:val="true"/>
        </w:rPr>
        <w:t xml:space="preserve">מו 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על בית המשפט להעדיף את הפן השיקומי על פ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י הפן הענישתי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 xml:space="preserve">כי עסקינן בצעיר 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 בהזדמנות הראשונה כבר בחקירתו במשטרה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 חרטה 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כי ההודאה בבית המשפט חסכה זמן שיפוטי יקר והעדת עדי תביעה רבים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לשיטת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מקום לקבוע בתיק זה מתחם עונש הולם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בנקודה זו הפנה הסנגור לגזר דין שניתן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22765-09-19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 הושת על נאשם  שהורשע בעבירות דומות שעיקרן השלכת רימון הלם ל</w:t>
      </w:r>
      <w:r>
        <w:rPr>
          <w:rFonts w:ascii="David" w:hAnsi="David"/>
          <w:rtl w:val="true"/>
        </w:rPr>
        <w:t xml:space="preserve">עבר </w:t>
      </w:r>
      <w:r>
        <w:rPr>
          <w:rFonts w:ascii="David" w:hAnsi="David"/>
          <w:rtl w:val="true"/>
        </w:rPr>
        <w:t>ביתו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לריצוי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אף </w:t>
      </w:r>
      <w:r>
        <w:rPr>
          <w:rFonts w:ascii="David" w:hAnsi="David"/>
          <w:rtl w:val="true"/>
        </w:rPr>
        <w:t>שלא הוגש תסקיר שהמליץ על פן 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בהסתמך על </w:t>
      </w:r>
      <w:r>
        <w:rPr>
          <w:rFonts w:ascii="David" w:hAnsi="David"/>
          <w:rtl w:val="true"/>
        </w:rPr>
        <w:t xml:space="preserve">סולחה </w:t>
      </w:r>
      <w:r>
        <w:rPr>
          <w:rFonts w:ascii="David" w:hAnsi="David"/>
          <w:rtl w:val="true"/>
        </w:rPr>
        <w:t xml:space="preserve">שנערכה עם המתלונן ונזכרת </w:t>
      </w:r>
      <w:r>
        <w:rPr>
          <w:rFonts w:ascii="David" w:hAnsi="David"/>
          <w:rtl w:val="true"/>
        </w:rPr>
        <w:t xml:space="preserve">בתסקיר </w:t>
      </w:r>
      <w:r>
        <w:rPr>
          <w:rFonts w:ascii="David" w:hAnsi="David"/>
          <w:rtl w:val="true"/>
        </w:rPr>
        <w:t>שהוגש בתיק בעניינו של השותף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הסנגור להשית על הנאשם  עונש של מאסר בפועל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שטען והדגיש כי</w:t>
      </w:r>
      <w:r>
        <w:rPr>
          <w:rFonts w:ascii="David" w:hAnsi="David"/>
          <w:rtl w:val="true"/>
        </w:rPr>
        <w:t xml:space="preserve"> מג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 הוא הדומיננטי והיוזם בפרשה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בדברו בפני בית המשפט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 את הדברים הבאים</w:t>
      </w:r>
      <w:r>
        <w:rPr>
          <w:rFonts w:cs="David" w:ascii="David" w:hAnsi="David"/>
          <w:rtl w:val="true"/>
        </w:rPr>
        <w:t xml:space="preserve">: " </w:t>
      </w:r>
      <w:r>
        <w:rPr>
          <w:rFonts w:ascii="Miriam" w:hAnsi="Miriam" w:cs="Miriam"/>
          <w:rtl w:val="true"/>
        </w:rPr>
        <w:t>אני טעיתי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למדתי מהטעות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משתתף בקבוצות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משתתף בטיפול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לא רוצה לחזור לכיוון הזה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בגלל שלמדתי מהטעות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עבדתי אצל מג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ד ואני לא מבין בעניינים האלה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שיחקו לי בראש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ואני בחיים לא עשיתי בעיות ולא נכנסתי למשטרה</w:t>
      </w:r>
      <w:r>
        <w:rPr>
          <w:rFonts w:cs="Miriam" w:ascii="Miriam" w:hAnsi="Miriam"/>
          <w:rtl w:val="true"/>
        </w:rPr>
        <w:t xml:space="preserve">.  </w:t>
      </w:r>
      <w:r>
        <w:rPr>
          <w:rFonts w:ascii="Miriam" w:hAnsi="Miriam" w:cs="Miriam"/>
          <w:rtl w:val="true"/>
        </w:rPr>
        <w:t>אני מבקש לחזור הביתה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b/>
          <w:b/>
          <w:bCs/>
          <w:u w:val="single"/>
          <w:rtl w:val="true"/>
        </w:rPr>
        <w:t>דיון והכרעה</w:t>
      </w:r>
      <w:r>
        <w:rPr>
          <w:rFonts w:ascii="Miriam" w:hAnsi="Miriam" w:cs="Miriam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start="1440" w:end="1276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>,</w:t>
      </w:r>
      <w:r>
        <w:rPr>
          <w:rtl w:val="true"/>
        </w:rPr>
        <w:t xml:space="preserve"> </w:t>
      </w:r>
      <w:r>
        <w:rPr/>
        <w:t>18/4/12</w:t>
      </w:r>
      <w:r>
        <w:rPr>
          <w:rtl w:val="true"/>
        </w:rPr>
        <w:t xml:space="preserve"> ).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בגי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עווד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23/3/13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: "...</w:t>
      </w:r>
      <w:r>
        <w:rPr>
          <w:rFonts w:ascii="Miriam" w:hAnsi="Miriam" w:cs="Miriam"/>
          <w:rtl w:val="true"/>
        </w:rPr>
        <w:t>גם אם סכנתו של רימון ההלם פחותה משל רימון רסס עדיין מדובר בנשק שבכוחו לגרום פציעה לאדם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בכפוף לקרבתו למוקד הפעלתו</w:t>
      </w:r>
      <w:r>
        <w:rPr>
          <w:rtl w:val="true"/>
        </w:rPr>
        <w:t xml:space="preserve">...".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7124/06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דרורי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9/5/07</w:t>
      </w:r>
      <w:r>
        <w:rPr>
          <w:rtl w:val="true"/>
        </w:rPr>
        <w:t xml:space="preserve">)).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tl w:val="true"/>
        </w:rPr>
        <w:t xml:space="preserve">,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מקורביו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והשלכתו</w:t>
      </w:r>
      <w:r>
        <w:rPr>
          <w:rtl w:val="true"/>
        </w:rPr>
        <w:t xml:space="preserve">, 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11/2/15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8845/15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מנסור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17/11/16</w:t>
      </w:r>
      <w:r>
        <w:rPr>
          <w:rtl w:val="true"/>
        </w:rPr>
        <w:t xml:space="preserve">) 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40450-09-15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עכאווי </w:t>
      </w:r>
      <w:r>
        <w:rPr>
          <w:rtl w:val="true"/>
        </w:rPr>
        <w:t>(</w:t>
      </w:r>
      <w:r>
        <w:rPr/>
        <w:t>20/1/16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22765-09-19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5/12/19</w:t>
      </w:r>
      <w:r>
        <w:rPr>
          <w:rtl w:val="true"/>
        </w:rPr>
        <w:t xml:space="preserve">)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94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43952-09-20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ד חטיב ו</w:t>
      </w:r>
      <w:r>
        <w:rPr>
          <w:rFonts w:ascii="Miriam" w:hAnsi="Miriam" w:cs="Miriam"/>
          <w:rtl w:val="true"/>
        </w:rPr>
        <w:t>טאלב 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6/5/21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להסוואתו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13/7/21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וטאלב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31/8/20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12/11/20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טאלב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Arial"/>
          <w:sz w:val="22"/>
          <w:sz w:val="22"/>
          <w:szCs w:val="22"/>
          <w:rtl w:val="true"/>
        </w:rPr>
        <w:t>א</w:t>
      </w:r>
      <w:r>
        <w:rPr>
          <w:rFonts w:cs="Arial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למאסר בפועל לתקופה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המאסר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ירוצה על ידי הנאשם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 בחוות דעת הממונה על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היינו </w:t>
      </w:r>
      <w:r>
        <w:rPr>
          <w:rFonts w:ascii="Calibri" w:hAnsi="Calibri" w:cs="Calibri"/>
          <w:rtl w:val="true"/>
        </w:rPr>
        <w:t>בעיריית סכנין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160"/>
        <w:ind w:firstLine="720" w:start="720" w:end="0"/>
        <w:jc w:val="both"/>
        <w:rPr/>
      </w:pPr>
      <w:r>
        <w:rPr>
          <w:rFonts w:ascii="Calibri" w:hAnsi="Calibri" w:cs="Calibri"/>
          <w:rtl w:val="true"/>
        </w:rPr>
        <w:t>הנאשם יתייצב 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5/10/21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 קליטה והצבה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 תחילת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ביחידת עבודות 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ברקאי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שלוחת </w:t>
      </w:r>
      <w:r>
        <w:rPr>
          <w:rFonts w:ascii="Calibri" w:hAnsi="Calibri" w:cs="Calibri"/>
          <w:rtl w:val="true"/>
        </w:rPr>
        <w:t xml:space="preserve"> 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 לבית הכלא מגידו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firstLine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 הממונה על עבודות 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עסקינן בתנאי העסקה קפדניים במסגרת עבודות 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הפרת תנאים אלה עלולה להוביל להפסקת עבודות השירות ולריצוי יתרת העונש במאסר של 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כי הנאשם לא יעבור עבירה מסוג פשע לפי סעיף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למאסר על תנאי לתקופה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והתנאי הוא כי הנאשם לא יעבור עבירה מסוג עוון לפי </w:t>
      </w:r>
      <w:hyperlink r:id="rId42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ascii="Calibri" w:hAnsi="Calibri" w:cs="Calibri"/>
          <w:rtl w:val="true"/>
        </w:rPr>
        <w:t>עבירת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עבירה של 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ascii="Calibri" w:hAnsi="Calibri" w:cs="Calibri"/>
          <w:rtl w:val="true"/>
        </w:rPr>
        <w:t xml:space="preserve">עבירה לפי סימן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לפרק ט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לחוק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לתשלום קנס בסך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</w:rPr>
        <w:t>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 מורה על פריסת תשלום הקנס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 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שווים ורצופים 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כל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מיום </w:t>
      </w:r>
      <w:r>
        <w:rPr>
          <w:rFonts w:cs="Calibri" w:ascii="Calibri" w:hAnsi="Calibri"/>
        </w:rPr>
        <w:t>15/10/21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לתשלום פיצוי לטובת המתלונן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שיופקד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י הנאשם עבור המתלונן בקופת בית המשפט עד ליום </w:t>
      </w:r>
      <w:r>
        <w:rPr>
          <w:rFonts w:cs="Calibri" w:ascii="Calibri" w:hAnsi="Calibri"/>
        </w:rPr>
        <w:t>15/10/21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תמציא לתיק בית המשפט את פרטיו של המתלונן לצורך העברת סכום הפיצוי לידיו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 xml:space="preserve">אני מורה על הטלת צו מבחן על הנאשם לתקופה של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מוזהר בזה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במידה שלא יעמוד בתנאי צו המבחן או יבצע עבירה נוספת בתקופת הצו והצו יופקע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 הוא יהא צפוי לגזירת דינו מחדש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 תמציא העתק מגזר הדין לשרות המבחן ולממונה על עבודות שרות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בשבקין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bookmarkEnd w:id="11"/>
      <w:r>
        <w:rPr>
          <w:rFonts w:ascii="Arial" w:hAnsi="Arial" w:cs="Arial"/>
          <w:rtl w:val="true"/>
        </w:rPr>
        <w:t>חיגאזי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43957-09-20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חוסיין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9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David" w:hAnsi="David" w:eastAsia="Times New Roman" w:cs="David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338.3" TargetMode="External"/><Relationship Id="rId12" Type="http://schemas.openxmlformats.org/officeDocument/2006/relationships/hyperlink" Target="http://www.nevo.co.il/law/70301/338.a.3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338.3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case/27014905" TargetMode="External"/><Relationship Id="rId22" Type="http://schemas.openxmlformats.org/officeDocument/2006/relationships/hyperlink" Target="http://www.nevo.co.il/case/260250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0443017" TargetMode="External"/><Relationship Id="rId31" Type="http://schemas.openxmlformats.org/officeDocument/2006/relationships/hyperlink" Target="http://www.nevo.co.il/case/5865581" TargetMode="External"/><Relationship Id="rId32" Type="http://schemas.openxmlformats.org/officeDocument/2006/relationships/hyperlink" Target="http://www.nevo.co.il/case/18105668" TargetMode="External"/><Relationship Id="rId33" Type="http://schemas.openxmlformats.org/officeDocument/2006/relationships/hyperlink" Target="http://www.nevo.co.il/case/20817889" TargetMode="External"/><Relationship Id="rId34" Type="http://schemas.openxmlformats.org/officeDocument/2006/relationships/hyperlink" Target="http://www.nevo.co.il/case/20590970" TargetMode="External"/><Relationship Id="rId35" Type="http://schemas.openxmlformats.org/officeDocument/2006/relationships/hyperlink" Target="http://www.nevo.co.il/case/26025031" TargetMode="External"/><Relationship Id="rId36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38.a.3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case/2701490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2022-02-23T11:32:00Z</dcterms:created>
  <dc:creator> </dc:creator>
  <dc:description/>
  <cp:keywords/>
  <dc:language>en-IL</dc:language>
  <cp:lastModifiedBy>h1</cp:lastModifiedBy>
  <dcterms:modified xsi:type="dcterms:W3CDTF">2022-02-23T11:32:00Z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חוסיין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27014905:2;26025031:2;6243627;10443017;5865581;18105668;20817889;20590970</vt:lpwstr>
  </property>
  <property fmtid="{D5CDD505-2E9C-101B-9397-08002B2CF9AE}" pid="9" name="CITY">
    <vt:lpwstr>חי'</vt:lpwstr>
  </property>
  <property fmtid="{D5CDD505-2E9C-101B-9397-08002B2CF9AE}" pid="10" name="DATE">
    <vt:lpwstr>20210719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70301/144.b:2;029:3;244;338.3;192:2;040b;040c;040i;338.a.3;144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43957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390020210719</vt:lpwstr>
  </property>
  <property fmtid="{D5CDD505-2E9C-101B-9397-08002B2CF9AE}" pid="34" name="TYPE_N_DATE">
    <vt:lpwstr>39020210719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