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44157-08-16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מרבוע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דנה מרשק מרום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באמצעות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פמ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מ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פליישר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אוסאמה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מרבוע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)</w:t>
            </w:r>
            <w:r>
              <w:rPr>
                <w:rtl w:val="true"/>
              </w:rPr>
              <w:t xml:space="preserve"> – </w:t>
            </w:r>
            <w:r>
              <w:rPr>
                <w:rtl w:val="true"/>
              </w:rPr>
              <w:t>הובא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אסף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449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 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5" w:name="PsakDin"/>
            <w:bookmarkEnd w:id="5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כתב</w:t>
      </w:r>
      <w:r>
        <w:rPr>
          <w:rFonts w:cs="Calibri" w:ascii="Calibri" w:hAnsi="Calibri"/>
          <w:b/>
          <w:bCs/>
          <w:u w:val="single"/>
          <w:rtl w:val="true"/>
        </w:rPr>
        <w:t>-</w:t>
      </w:r>
      <w:r>
        <w:rPr>
          <w:rFonts w:ascii="Calibri" w:hAnsi="Calibri" w:cs="Calibri"/>
          <w:b/>
          <w:b/>
          <w:bCs/>
          <w:u w:val="single"/>
          <w:rtl w:val="true"/>
        </w:rPr>
        <w:t>האישום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המתוקן</w:t>
      </w:r>
    </w:p>
    <w:p>
      <w:pPr>
        <w:pStyle w:val="Normal"/>
        <w:spacing w:lineRule="auto" w:line="360"/>
        <w:ind w:hanging="680" w:start="68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>.</w:t>
        <w:tab/>
      </w:r>
      <w:bookmarkStart w:id="6" w:name="ABSTRACT_START"/>
      <w:bookmarkEnd w:id="6"/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יסוד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שגובש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בהליכי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גישור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שיפוטי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</w:rPr>
          <w:t>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hyperlink r:id="rId10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כמפורט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449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 (</w:t>
        </w:r>
        <w:r>
          <w:rPr>
            <w:rStyle w:val="Hyperlink"/>
            <w:rFonts w:cs="Calibri" w:ascii="Calibri" w:hAnsi="Calibri"/>
            <w:color w:val="0000FF"/>
            <w:u w:val="single"/>
          </w:rPr>
          <w:t>1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כמפורט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Calibri" w:hAnsi="Calibri" w:cs="Calibri"/>
        </w:rPr>
      </w:pPr>
      <w:bookmarkStart w:id="7" w:name="ABSTRACT_END"/>
      <w:bookmarkEnd w:id="7"/>
      <w:r>
        <w:rPr>
          <w:rFonts w:cs="Calibri" w:ascii="Calibri" w:hAnsi="Calibri"/>
          <w:rtl w:val="true"/>
        </w:rPr>
        <w:tab/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24.3.15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הזדמנויות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אברהים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עאנם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אברהים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שיחות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טלפון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משטרתי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עוזי</w:t>
      </w:r>
      <w:r>
        <w:rPr>
          <w:rFonts w:cs="Calibri" w:ascii="Calibri" w:hAnsi="Calibri"/>
          <w:rtl w:val="true"/>
        </w:rPr>
        <w:t xml:space="preserve">". </w:t>
      </w:r>
      <w:r>
        <w:rPr>
          <w:rFonts w:ascii="Calibri" w:hAnsi="Calibri" w:cs="Calibri"/>
          <w:rtl w:val="true"/>
        </w:rPr>
        <w:t>בהמשך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24.3.15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ואברהים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לסיכום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18:15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נפגשו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ואברהים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מחוץ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אברהים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ונסעו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שבשכונת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בלוד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ואברהים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שעמדו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פנימית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גוסטב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מאולתר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הנחזה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מיני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עוזי</w:t>
      </w:r>
      <w:r>
        <w:rPr>
          <w:rFonts w:cs="Calibri" w:ascii="Calibri" w:hAnsi="Calibri"/>
          <w:rtl w:val="true"/>
        </w:rPr>
        <w:t xml:space="preserve">".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אברהים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>קרל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גוסטב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בצירוף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לאברהים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10,500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</w:p>
    <w:p>
      <w:pPr>
        <w:pStyle w:val="Normal"/>
        <w:spacing w:lineRule="auto" w:line="360"/>
        <w:ind w:start="680" w:end="0"/>
        <w:jc w:val="both"/>
        <w:rPr/>
      </w:pP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1.4.15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>"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הפועל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680" w:end="0"/>
        <w:jc w:val="both"/>
        <w:rPr/>
      </w:pP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8.4.15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צהריים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והציע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".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טוטו</w:t>
      </w:r>
      <w:r>
        <w:rPr>
          <w:rFonts w:cs="Calibri" w:ascii="Calibri" w:hAnsi="Calibri"/>
          <w:rtl w:val="true"/>
        </w:rPr>
        <w:t xml:space="preserve">". </w:t>
      </w:r>
      <w:r>
        <w:rPr>
          <w:rFonts w:ascii="Calibri" w:hAnsi="Calibri" w:cs="Calibri"/>
          <w:rtl w:val="true"/>
        </w:rPr>
        <w:t>בהמשך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מחירו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המבוקש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ובסופו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לפועל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680" w:end="0"/>
        <w:jc w:val="both"/>
        <w:rPr/>
      </w:pP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15.4.15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צהריים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בחצר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קאנס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שהינו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צלפים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למבנה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מכוסה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הממוקם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הסביר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כוונת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טלסקופית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המכילה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בהמשך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תיאר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יצלמו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ויעביר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תמונתו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בסופו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הפועל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שגובש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הוצהר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מסכימה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עובדתית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לעסקת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שותפים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התמצה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תסקיר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שירות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360"/>
        <w:ind w:hanging="680" w:start="68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הוסכם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יישלח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2.4.17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והמשפחתיות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27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חינוכית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ומסר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יודע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וכתוב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בהתקנת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רהיטים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כשהתגורר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וילדיו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ותיאר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הזוגית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והמשפחתית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כתקינה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בטראומת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תיאר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מצוקותיה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כשברקע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לחצים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כלכליים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ורגשיים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הגדולה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המוטלת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מפרנס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עיקרי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במשפחתו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בפיתוי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הכספי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ומשמעות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שמשלם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והמרחק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התנהלותו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הבעייתית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דפוסיו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להתרשמות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הלחצים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אימפולסיביות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קושי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ילדותית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השפעות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שליליות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העבריינית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הסובבת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כיום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במעצר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תובנה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ראשונית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והשלכותיהם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לסיכום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חסכים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ושייכות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כשלאובדן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הפתאומי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שאירע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עיניו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השלכות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קיבלו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התייחסות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ניכר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להתמודד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לחצים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ותסכולים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ולהציב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כשבנוסף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מושפע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ולהיגרר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אמנם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קיימת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ראשונית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לניהול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חזרתיות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בפלילים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והיעדר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תובנה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מעמיקה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להתנהלותו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הבעייתית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באפשרות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ראיות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לעונש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מטעם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המאשימה</w:t>
      </w:r>
    </w:p>
    <w:p>
      <w:pPr>
        <w:pStyle w:val="Normal"/>
        <w:spacing w:lineRule="auto" w:line="360"/>
        <w:ind w:hanging="680" w:start="68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לחובת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כמפורט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פ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ת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בנובמבר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נלווים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טיעוני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</w:t>
      </w:r>
      <w:r>
        <w:rPr>
          <w:rFonts w:cs="Calibri" w:ascii="Calibri" w:hAnsi="Calibri"/>
          <w:b/>
          <w:bCs/>
          <w:u w:val="single"/>
          <w:rtl w:val="true"/>
        </w:rPr>
        <w:t>"</w:t>
      </w:r>
      <w:r>
        <w:rPr>
          <w:rFonts w:ascii="Calibri" w:hAnsi="Calibri" w:cs="Calibri"/>
          <w:b/>
          <w:b/>
          <w:bCs/>
          <w:u w:val="single"/>
          <w:rtl w:val="true"/>
        </w:rPr>
        <w:t>כ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הצדדים</w:t>
      </w:r>
    </w:p>
    <w:p>
      <w:pPr>
        <w:pStyle w:val="Normal"/>
        <w:spacing w:lineRule="auto" w:line="360"/>
        <w:ind w:hanging="680" w:start="68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ממעשי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המפורטים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לבסס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טיעוניו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המגבשת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הנהוגה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הנחיות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פרקליט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הדגיש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ספונטניים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שיזם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המרכזי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הפוטנציאלי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התגלגל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הזכיר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שיפוטי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מוטיבציה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מילולית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לשינוי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לתובנה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ובסופו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ומרתיעה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4.5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לשכנע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שהוגשה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רלוונטית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הזכיר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היחסי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התכנית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העבריינית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הזכיר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אברהים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בהימלטות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בהתנהלות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שהביאה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להוצאת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הטלפון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נערכו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אברהים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אברהים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מאולתר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באבחנה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שהוגשה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לטענת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לתמיכה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בטיעוניו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תכנים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ולטעמו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שיקומי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קבוצתי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בעיצומה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הורות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במעצר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כשאין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התייחסות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בתסקיר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לבדוק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התהליכים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ההזנחה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טראומת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וחסכים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שסבל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למצוקות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האינדיבידואלי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מהתסקיר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חרף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מפרנס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עיקרי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כשלחובתו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מוטעה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לפרנס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הזכיר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נולדה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הקטנה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תינוקת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לקנס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במצוקה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הכלכלית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שאביהם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ובריח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תיאר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בדברו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לביהמ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ועתיד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הקבוצה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הטיפולית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השנייה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דיון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להוראות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hyperlink r:id="rId1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הנוהגת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u w:val="single"/>
          <w:rtl w:val="true"/>
        </w:rPr>
        <w:t>ערך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המוגן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ובביטחונו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חיות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הסכנות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הנשקפות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מסחר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בלתי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חוקי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עמד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משפט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בציינו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הניסיון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מלמד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מקורו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מפוקפק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לאחר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שהוא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יוצא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מידי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המחזיק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בו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מוצא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דרכו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לידיים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עברייניות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למפגעים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למיניהם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והרי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הוכיחו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מהססים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להשתמש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במקומות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סואנים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וגם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כאשר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ברור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עלולים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להיפגע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מהירי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אנשים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תמימים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שנקלעו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לזירה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בדרך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מקרה</w:t>
      </w:r>
      <w:r>
        <w:rPr>
          <w:rFonts w:cs="Calibri" w:ascii="Calibri" w:hAnsi="Calibri"/>
          <w:b/>
          <w:bCs/>
          <w:rtl w:val="true"/>
        </w:rPr>
        <w:t xml:space="preserve">'... </w:t>
      </w:r>
      <w:r>
        <w:rPr>
          <w:rFonts w:ascii="Calibri" w:hAnsi="Calibri" w:cs="Calibri"/>
          <w:b/>
          <w:b/>
          <w:bCs/>
          <w:rtl w:val="true"/>
        </w:rPr>
        <w:t>אכן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סחר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בלתי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חוקי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סולל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הדרך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לפעילות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אלימה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ובלתי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חוקית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והדבר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חמור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שבעתיים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במציאות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הישראלית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קיים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חשש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תמידי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המוחזק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באופן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בלתי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חוקי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יתגלגל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לידיים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עברייניות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עניין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חמור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לעצמו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לידיהם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המבקשים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להוציא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הפועל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פעילות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חבלנית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עוינת</w:t>
      </w:r>
      <w:r>
        <w:rPr>
          <w:rFonts w:cs="Calibri" w:ascii="Calibri" w:hAnsi="Calibri"/>
          <w:b/>
          <w:bCs/>
          <w:rtl w:val="true"/>
        </w:rPr>
        <w:t>...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כן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כל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שהופך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עצמו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לחוליה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במנגנון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סחר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בלתי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חוקי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בנשק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מוחזק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כמי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שמבין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ויודע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נכון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עלולות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התוצאות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הנובעות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ממעשיו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ומהן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הסכנות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הנשקפות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ממעשים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לחברה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כולה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1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2251/11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נפעא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4.12.11</w:t>
      </w:r>
      <w:r>
        <w:rPr>
          <w:rFonts w:cs="Calibri" w:ascii="Calibri" w:hAnsi="Calibri"/>
          <w:rtl w:val="true"/>
        </w:rPr>
        <w:t xml:space="preserve">], 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b/>
          <w:b/>
          <w:bCs/>
          <w:rtl w:val="true"/>
        </w:rPr>
        <w:t>ע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פ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נפעא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לנסיבות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הקשורות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בביצוע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ט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יצוין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ממסכת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מתוכננת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ומחושבת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המצביעה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העמוקה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רגעית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וחד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פעמית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דפוס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מאורגן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כסף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בבירור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המעורב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הדומיננטי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אברהים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שוחח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ברכישת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ואברהים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הגבוהים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ביותר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קרל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גוסטב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מאולתר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מיני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עוזי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לסוכן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ומתן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קרל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גוסטב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הדומיננטית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בפעילות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האסורה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אברהים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אברהים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מעלות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הזדמנויות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ברכישת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והמגעים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מעידים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נגישותו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והתמצאות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חרף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מהשיחות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והפגישות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הניבו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מדיניות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ייאמר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קורא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המעורבים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בפעילות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ראו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למשל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דבריה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1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4945/13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סלימאן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19.1.14</w:t>
      </w:r>
      <w:r>
        <w:rPr>
          <w:rFonts w:cs="Calibri" w:ascii="Calibri" w:hAnsi="Calibri"/>
          <w:rtl w:val="true"/>
        </w:rPr>
        <w:t>]: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  <w:t xml:space="preserve">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cs="Calibri" w:ascii="Calibri" w:hAnsi="Calibri"/>
          <w:b/>
          <w:bCs/>
          <w:rtl w:val="true"/>
        </w:rPr>
        <w:t xml:space="preserve">"... </w:t>
      </w:r>
      <w:r>
        <w:rPr>
          <w:rFonts w:ascii="Calibri" w:hAnsi="Calibri" w:cs="Calibri"/>
          <w:b/>
          <w:b/>
          <w:bCs/>
          <w:rtl w:val="true"/>
        </w:rPr>
        <w:t>תחילה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להזכיר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מגמת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ההחמרה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שחלה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בעונשי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הנגזרים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נאשמים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ascii="Calibri" w:hAnsi="Calibri" w:cs="Calibri"/>
          <w:b/>
          <w:b/>
          <w:bCs/>
          <w:rtl w:val="true"/>
        </w:rPr>
        <w:t>עבירת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הסחר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בפרט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ביתר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הנשק</w:t>
      </w:r>
      <w:r>
        <w:rPr>
          <w:rFonts w:cs="Calibri" w:ascii="Calibri" w:hAnsi="Calibri"/>
          <w:b/>
          <w:bCs/>
          <w:rtl w:val="true"/>
        </w:rPr>
        <w:t xml:space="preserve">), </w:t>
      </w:r>
      <w:r>
        <w:rPr>
          <w:rFonts w:ascii="Calibri" w:hAnsi="Calibri" w:cs="Calibri"/>
          <w:b/>
          <w:b/>
          <w:bCs/>
          <w:rtl w:val="true"/>
        </w:rPr>
        <w:t>אשר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באה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לידי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ביטוי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בשורת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פסקי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משפט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מהשנים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האחרונות</w:t>
      </w:r>
      <w:r>
        <w:rPr>
          <w:rFonts w:cs="Calibri" w:ascii="Calibri" w:hAnsi="Calibri"/>
          <w:b/>
          <w:bCs/>
          <w:rtl w:val="true"/>
        </w:rPr>
        <w:t xml:space="preserve">... </w:t>
      </w:r>
      <w:r>
        <w:rPr>
          <w:rFonts w:ascii="Calibri" w:hAnsi="Calibri" w:cs="Calibri"/>
          <w:b/>
          <w:b/>
          <w:bCs/>
          <w:rtl w:val="true"/>
        </w:rPr>
        <w:t>גם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תומכת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במגמה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זו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וכפי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שכתבתי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כבר</w:t>
      </w:r>
      <w:r>
        <w:rPr>
          <w:rFonts w:cs="Calibri" w:ascii="Calibri" w:hAnsi="Calibri"/>
          <w:b/>
          <w:bCs/>
          <w:rtl w:val="true"/>
        </w:rPr>
        <w:t>: '</w:t>
      </w:r>
      <w:r>
        <w:rPr>
          <w:rFonts w:ascii="Calibri" w:hAnsi="Calibri" w:cs="Calibri"/>
          <w:b/>
          <w:b/>
          <w:bCs/>
          <w:rtl w:val="true"/>
        </w:rPr>
        <w:t>הסכנה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הנשקפת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לציבור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כתוצאה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לצד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המימדים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שאליהם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הגיעו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מחייבים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לתת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ביטוי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הולם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וכבד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משקל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להגנה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החברתי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שנפגע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כתוצאה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מפעילות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עבריינית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זאת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ולהחמיר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עונשי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המוטלים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בגין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פעילות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עבריינית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זאת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בהדרגה</w:t>
      </w:r>
      <w:r>
        <w:rPr>
          <w:rFonts w:cs="Calibri" w:ascii="Calibri" w:hAnsi="Calibri"/>
          <w:b/>
          <w:bCs/>
          <w:rtl w:val="true"/>
        </w:rPr>
        <w:t xml:space="preserve">'..."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קביעותיו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כתוארו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אז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רובינשטיין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פסק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דין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באשר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למדיניות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הענישה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ומתחם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מצטרף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בלב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לחוות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דעתה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חברתי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השופטת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ארבל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הנשק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שבית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משפט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ראה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לטוב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לפניו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להחמיר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בעונשיהן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כפי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שהראתה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חברתי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למכה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שאין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מנוס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מהרתעה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מפניה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השילוב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פוטנציאל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עבריינות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פלילית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לפוטנציאל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עבריינות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טרור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זו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וזו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חולירע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מצדיק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גישת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שמאי</w:t>
      </w:r>
      <w:r>
        <w:rPr>
          <w:rFonts w:cs="Calibri" w:ascii="Calibri" w:hAnsi="Calibri"/>
          <w:b/>
          <w:bCs/>
          <w:rtl w:val="true"/>
        </w:rPr>
        <w:t xml:space="preserve">; </w:t>
      </w:r>
      <w:r>
        <w:rPr>
          <w:rFonts w:ascii="Calibri" w:hAnsi="Calibri" w:cs="Calibri"/>
          <w:b/>
          <w:b/>
          <w:bCs/>
          <w:rtl w:val="true"/>
        </w:rPr>
        <w:t>הפתגם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אומר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אקדח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הנראה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במערכה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הראשונה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סופו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שיירה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במערכה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האחרונה</w:t>
      </w:r>
      <w:r>
        <w:rPr>
          <w:rFonts w:cs="Calibri" w:ascii="Calibri" w:hAnsi="Calibri"/>
          <w:b/>
          <w:bCs/>
          <w:rtl w:val="true"/>
        </w:rPr>
        <w:t xml:space="preserve">; </w:t>
      </w:r>
      <w:r>
        <w:rPr>
          <w:rFonts w:ascii="Calibri" w:hAnsi="Calibri" w:cs="Calibri"/>
          <w:b/>
          <w:b/>
          <w:bCs/>
          <w:rtl w:val="true"/>
        </w:rPr>
        <w:t>כך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בתיאטרון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במציאות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סורג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ובריח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בהם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הרתעה</w:t>
      </w:r>
      <w:r>
        <w:rPr>
          <w:rFonts w:ascii="Calibri" w:hAnsi="Calibri" w:cs="Calibri"/>
          <w:b/>
          <w:b/>
          <w:bCs/>
          <w:rtl w:val="true"/>
        </w:rPr>
        <w:t xml:space="preserve"> – </w:t>
      </w:r>
      <w:r>
        <w:rPr>
          <w:rFonts w:ascii="Calibri" w:hAnsi="Calibri" w:cs="Calibri"/>
          <w:b/>
          <w:b/>
          <w:bCs/>
          <w:rtl w:val="true"/>
        </w:rPr>
        <w:t>כך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לקוות</w:t>
      </w:r>
      <w:r>
        <w:rPr>
          <w:rFonts w:ascii="Calibri" w:hAnsi="Calibri" w:cs="Calibri"/>
          <w:b/>
          <w:b/>
          <w:bCs/>
          <w:rtl w:val="true"/>
        </w:rPr>
        <w:t xml:space="preserve"> –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ascii="Calibri" w:hAnsi="Calibri" w:cs="Calibri"/>
          <w:b/>
          <w:b/>
          <w:bCs/>
          <w:rtl w:val="true"/>
        </w:rPr>
        <w:t>ידי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שייצא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הקול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הנוגעים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בדבר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עסקינן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בעולם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הפקר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וזה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הכלל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cs="Calibri" w:ascii="Calibri" w:hAnsi="Calibri"/>
          <w:b/>
          <w:bCs/>
          <w:rtl w:val="true"/>
        </w:rPr>
        <w:t xml:space="preserve">."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').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u w:val="single"/>
          <w:rtl w:val="true"/>
        </w:rPr>
        <w:t>מתחם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העונש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הייחודיות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לאירוע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שבמרכזו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קרל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גוסטב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חוליית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הגורם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והדומיננטי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לפועל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עיינתי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שהוצגה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כשהסניגור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המלומד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פסקי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רלבנטיים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בשינויים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המחויבים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המרכזיים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שבהם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ב</w:t>
      </w:r>
      <w:hyperlink r:id="rId1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2422/14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דר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21.12.14</w:t>
      </w:r>
      <w:r>
        <w:rPr>
          <w:rFonts w:cs="Calibri" w:ascii="Calibri" w:hAnsi="Calibri"/>
          <w:rtl w:val="true"/>
        </w:rPr>
        <w:t xml:space="preserve">],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יסוד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2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</w:rPr>
          <w:t>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להשיג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ולמכור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לתשלום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הסוכן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מחיר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הנוספים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והמערער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ובמעמד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גוסטב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שילם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בתיווך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בקביעת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מתחם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הובא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בחשבון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סוג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הנשק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התכנון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המוקדם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והבאת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למקום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ידי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המערער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שקיבל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מלוא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התמורה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48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בחור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36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בתיווך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והושתו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ע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פ</w:t>
      </w:r>
      <w:r>
        <w:rPr>
          <w:rFonts w:ascii="Calibri" w:hAnsi="Calibri" w:cs="Calibri"/>
          <w:b/>
          <w:b/>
          <w:bCs/>
          <w:rtl w:val="true"/>
        </w:rPr>
        <w:t xml:space="preserve">  </w:t>
      </w:r>
      <w:r>
        <w:rPr>
          <w:rFonts w:ascii="Calibri" w:hAnsi="Calibri" w:cs="Calibri"/>
          <w:b/>
          <w:b/>
          <w:bCs/>
          <w:rtl w:val="true"/>
        </w:rPr>
        <w:t>נפעא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שכנגד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הזדמנויות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עימו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ריקה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נפגשו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להמתין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ונסע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רובה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בחיוב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תת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מקלע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מתוצרת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ברזיל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מפסק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שיטתי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מכביד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קודמות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ותסקיר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להחמיר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שפורט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והעמיד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2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.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Calibri" w:ascii="Calibri" w:hAnsi="Calibri"/>
            <w:color w:val="0000FF"/>
            <w:u w:val="single"/>
          </w:rPr>
          <w:t>45465-11-15</w:t>
        </w:r>
      </w:hyperlink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מחוזי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חיפה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האד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סביחי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3.1.17</w:t>
      </w:r>
      <w:r>
        <w:rPr>
          <w:rFonts w:cs="Calibri" w:ascii="Calibri" w:hAnsi="Calibri"/>
          <w:rtl w:val="true"/>
        </w:rPr>
        <w:t>] (</w:t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ההגנה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יסוד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שהחלה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תביעה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שהציע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תתי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מקלע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קרל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גוסטב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תמורת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ובתוכו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מקלע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והוציא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עטוף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הכניסו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לתיק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– </w:t>
      </w:r>
      <w:r>
        <w:rPr>
          <w:rFonts w:cs="Calibri" w:ascii="Calibri" w:hAnsi="Calibri"/>
        </w:rPr>
        <w:t>60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בגיר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כחולה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טרשת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נפוצה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2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.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Calibri" w:ascii="Calibri" w:hAnsi="Calibri"/>
            <w:color w:val="0000FF"/>
            <w:u w:val="single"/>
          </w:rPr>
          <w:t>15105-08-14</w:t>
        </w:r>
      </w:hyperlink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מחוזי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חיפה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סמיר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ענבתאוי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ומוחמד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זייד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1.4.15</w:t>
      </w:r>
      <w:r>
        <w:rPr>
          <w:rFonts w:cs="Calibri" w:ascii="Calibri" w:hAnsi="Calibri"/>
          <w:rtl w:val="true"/>
        </w:rPr>
        <w:t xml:space="preserve">], </w:t>
      </w:r>
      <w:r>
        <w:rPr>
          <w:rFonts w:ascii="Calibri" w:hAnsi="Calibri" w:cs="Calibri"/>
          <w:rtl w:val="true"/>
        </w:rPr>
        <w:t>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יסוד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בפרשה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והציע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מקלע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20000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ולמחרת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שוחח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טלפונית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נפגשו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מעדכן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בואם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ההגעה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ליעד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נכנסו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ומסרו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מקלע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תואמים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וקופסה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לכדורים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– </w:t>
      </w:r>
      <w:r>
        <w:rPr>
          <w:rFonts w:cs="Calibri" w:ascii="Calibri" w:hAnsi="Calibri"/>
        </w:rPr>
        <w:t>48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–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ובהוראת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החיקוק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שלחובתו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מוחשי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והופעל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בחופף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ובמצטבר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שבסופו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פסקי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חמורות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אבחנות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מתבקשות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מתחם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עונש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הולם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אשר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נע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בין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</w:rPr>
        <w:t>18</w:t>
      </w:r>
      <w:r>
        <w:rPr>
          <w:rFonts w:cs="Calibri" w:ascii="Calibri" w:hAnsi="Calibri"/>
          <w:u w:val="single"/>
          <w:rtl w:val="true"/>
        </w:rPr>
        <w:t xml:space="preserve"> – </w:t>
      </w:r>
      <w:r>
        <w:rPr>
          <w:rFonts w:cs="Calibri" w:ascii="Calibri" w:hAnsi="Calibri"/>
          <w:u w:val="single"/>
        </w:rPr>
        <w:t>36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חודשי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מאסר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בפועל</w:t>
      </w:r>
      <w:r>
        <w:rPr>
          <w:rFonts w:cs="Calibri" w:ascii="Calibri" w:hAnsi="Calibri"/>
          <w:u w:val="single"/>
          <w:rtl w:val="true"/>
        </w:rPr>
        <w:t xml:space="preserve">, </w:t>
      </w:r>
      <w:r>
        <w:rPr>
          <w:rFonts w:ascii="Calibri" w:hAnsi="Calibri" w:cs="Calibri"/>
          <w:u w:val="single"/>
          <w:rtl w:val="true"/>
        </w:rPr>
        <w:t>מאסר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על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תנאי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וקנס</w:t>
      </w:r>
      <w:r>
        <w:rPr>
          <w:rFonts w:cs="Calibri" w:ascii="Calibri" w:hAnsi="Calibri"/>
          <w:u w:val="single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הוצג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מצדיק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שנקבע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17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u w:val="single"/>
          <w:rtl w:val="true"/>
        </w:rPr>
        <w:t>נסיבות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שאינן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קשורות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לביצוע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לזקוף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בבחור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אמנם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לחמישה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שלכליאתו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תהא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השפעה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מכרעת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רגשית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וכלכלית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לדבריו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ולדברי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סניגורו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בכלא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לחובתו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עומדת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מסתבך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בפלילים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הרתיעו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מלשוב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כסף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מכלול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הנתונים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שנקבע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ששקלתי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השיקולים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גוזרת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כדלקמן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</w:rPr>
        <w:t>7.8.16</w:t>
      </w:r>
      <w:r>
        <w:rPr>
          <w:rFonts w:cs="Calibri" w:ascii="Calibri" w:hAnsi="Calibri"/>
          <w:rtl w:val="true"/>
        </w:rPr>
        <w:t>;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eastAsia="Calibri" w:cs="Calibri" w:ascii="Calibri" w:hAnsi="Calibri"/>
          <w:rtl w:val="true"/>
        </w:rPr>
        <w:t xml:space="preserve">            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2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>;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ממאסר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הודעה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זכות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ערעור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לבית</w:t>
      </w:r>
      <w:r>
        <w:rPr>
          <w:rFonts w:cs="Calibri" w:ascii="Calibri" w:hAnsi="Calibri"/>
          <w:b/>
          <w:bCs/>
          <w:u w:val="single"/>
          <w:rtl w:val="true"/>
        </w:rPr>
        <w:t>-</w:t>
      </w:r>
      <w:r>
        <w:rPr>
          <w:rFonts w:ascii="Calibri" w:hAnsi="Calibri" w:cs="Calibri"/>
          <w:b/>
          <w:b/>
          <w:bCs/>
          <w:u w:val="single"/>
          <w:rtl w:val="true"/>
        </w:rPr>
        <w:t>המשפט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העליון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תוך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45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יום</w:t>
      </w:r>
      <w:r>
        <w:rPr>
          <w:rFonts w:cs="Calibri" w:ascii="Calibri" w:hAnsi="Calibri"/>
          <w:b/>
          <w:bCs/>
          <w:u w:val="single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</w:p>
    <w:p>
      <w:pPr>
        <w:pStyle w:val="Normal"/>
        <w:spacing w:lineRule="auto" w:line="360"/>
        <w:ind w:hanging="680" w:start="68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תמוז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יולי </w:t>
      </w:r>
      <w:r>
        <w:rPr>
          <w:rFonts w:cs="Arial" w:ascii="Arial" w:hAnsi="Arial"/>
        </w:rPr>
        <w:t>2017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הנוכחים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דנה מרשק מרום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color w:val="0000FF"/>
          <w:sz w:val="22"/>
          <w:szCs w:val="22"/>
          <w:u w:val="single"/>
        </w:rPr>
      </w:pPr>
      <w:r>
        <w:rPr>
          <w:rFonts w:cs="David" w:ascii="David" w:hAnsi="David"/>
          <w:color w:val="0000FF"/>
          <w:sz w:val="22"/>
          <w:szCs w:val="22"/>
          <w:u w:val="single"/>
          <w:rtl w:val="true"/>
        </w:rPr>
      </w:r>
    </w:p>
    <w:sectPr>
      <w:headerReference w:type="default" r:id="rId27"/>
      <w:footerReference w:type="default" r:id="rId2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default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44157-08-16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אוסאמה מרבוע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CharChar5">
    <w:name w:val=" Char Char5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CharChar4">
    <w:name w:val=" Char Char4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CharChar3">
    <w:name w:val=" Char Char3"/>
    <w:qFormat/>
    <w:rPr>
      <w:rFonts w:ascii="Times New Roman" w:hAnsi="Times New Roman" w:eastAsia="Times New Roman" w:cs="David"/>
      <w:sz w:val="24"/>
      <w:szCs w:val="24"/>
    </w:rPr>
  </w:style>
  <w:style w:type="character" w:styleId="CharChar2">
    <w:name w:val=" Char Char2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1">
    <w:name w:val=" Char Char1"/>
    <w:qFormat/>
    <w:rPr>
      <w:rFonts w:ascii="Times New Roman" w:hAnsi="Times New Roman" w:eastAsia="Times New Roman" w:cs="Times New Roman"/>
      <w:sz w:val="24"/>
      <w:szCs w:val="24"/>
    </w:rPr>
  </w:style>
  <w:style w:type="character" w:styleId="CharChar">
    <w:name w:val=" Char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character" w:styleId="Style12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c.a" TargetMode="External"/><Relationship Id="rId4" Type="http://schemas.openxmlformats.org/officeDocument/2006/relationships/hyperlink" Target="http://www.nevo.co.il/law/70301/40i.a" TargetMode="External"/><Relationship Id="rId5" Type="http://schemas.openxmlformats.org/officeDocument/2006/relationships/hyperlink" Target="http://www.nevo.co.il/law/70301/144" TargetMode="External"/><Relationship Id="rId6" Type="http://schemas.openxmlformats.org/officeDocument/2006/relationships/hyperlink" Target="http://www.nevo.co.il/law/70301/144.b2" TargetMode="External"/><Relationship Id="rId7" Type="http://schemas.openxmlformats.org/officeDocument/2006/relationships/hyperlink" Target="http://www.nevo.co.il/law/70301/449.a.1" TargetMode="External"/><Relationship Id="rId8" Type="http://schemas.openxmlformats.org/officeDocument/2006/relationships/hyperlink" Target="http://www.nevo.co.il/law/70301/144.b2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449.a.1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40c.a" TargetMode="External"/><Relationship Id="rId15" Type="http://schemas.openxmlformats.org/officeDocument/2006/relationships/hyperlink" Target="http://www.nevo.co.il/case/5821327" TargetMode="External"/><Relationship Id="rId16" Type="http://schemas.openxmlformats.org/officeDocument/2006/relationships/hyperlink" Target="http://www.nevo.co.il/law/70301/40i.a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case/7791493" TargetMode="External"/><Relationship Id="rId19" Type="http://schemas.openxmlformats.org/officeDocument/2006/relationships/hyperlink" Target="http://www.nevo.co.il/case/13090914" TargetMode="External"/><Relationship Id="rId20" Type="http://schemas.openxmlformats.org/officeDocument/2006/relationships/hyperlink" Target="http://www.nevo.co.il/law/70301/144.b2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case/20741411" TargetMode="External"/><Relationship Id="rId23" Type="http://schemas.openxmlformats.org/officeDocument/2006/relationships/hyperlink" Target="http://www.nevo.co.il/case/17962496" TargetMode="External"/><Relationship Id="rId24" Type="http://schemas.openxmlformats.org/officeDocument/2006/relationships/hyperlink" Target="http://www.nevo.co.il/law/70301/144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advertisements/nevo-100.doc" TargetMode="External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2018-05-08T12:58:00Z</dcterms:created>
  <dc:creator> </dc:creator>
  <dc:description/>
  <cp:keywords/>
  <dc:language>en-IL</dc:language>
  <cp:lastModifiedBy>run</cp:lastModifiedBy>
  <dcterms:modified xsi:type="dcterms:W3CDTF">2018-05-08T12:58:00Z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אוסאמה מרבוע 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5821327;7791493;13090914;20741411;17962496</vt:lpwstr>
  </property>
  <property fmtid="{D5CDD505-2E9C-101B-9397-08002B2CF9AE}" pid="9" name="CITY">
    <vt:lpwstr>מרכז</vt:lpwstr>
  </property>
  <property fmtid="{D5CDD505-2E9C-101B-9397-08002B2CF9AE}" pid="10" name="DATE">
    <vt:lpwstr>20170702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דנה מרשק מרום</vt:lpwstr>
  </property>
  <property fmtid="{D5CDD505-2E9C-101B-9397-08002B2CF9AE}" pid="14" name="LAWLISTTMP1">
    <vt:lpwstr>70301/144.b2:2;449.a.1;040c.a;040i.a;144</vt:lpwstr>
  </property>
  <property fmtid="{D5CDD505-2E9C-101B-9397-08002B2CF9AE}" pid="15" name="LAWYER">
    <vt:lpwstr>פליישר;אסף טל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44157</vt:lpwstr>
  </property>
  <property fmtid="{D5CDD505-2E9C-101B-9397-08002B2CF9AE}" pid="22" name="NEWPARTB">
    <vt:lpwstr>08</vt:lpwstr>
  </property>
  <property fmtid="{D5CDD505-2E9C-101B-9397-08002B2CF9AE}" pid="23" name="NEWPARTC">
    <vt:lpwstr>16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390020170702</vt:lpwstr>
  </property>
  <property fmtid="{D5CDD505-2E9C-101B-9397-08002B2CF9AE}" pid="34" name="TYPE_N_DATE">
    <vt:lpwstr>39020170702</vt:lpwstr>
  </property>
  <property fmtid="{D5CDD505-2E9C-101B-9397-08002B2CF9AE}" pid="35" name="VOLUME">
    <vt:lpwstr/>
  </property>
  <property fmtid="{D5CDD505-2E9C-101B-9397-08002B2CF9AE}" pid="36" name="WORDNUMPAGES">
    <vt:lpwstr>9</vt:lpwstr>
  </property>
</Properties>
</file>