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44317-01-12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טבאש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מוסטפא טבאש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פואד חילף – נדון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מטעם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עדית עמיר</w:t>
      </w:r>
      <w:r>
        <w:rPr>
          <w:u w:val="none"/>
          <w:rtl w:val="true"/>
        </w:rPr>
        <w:t>-</w:t>
      </w:r>
      <w:r>
        <w:rPr>
          <w:u w:val="none"/>
          <w:rtl w:val="true"/>
        </w:rPr>
        <w:t>לוינשטיין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מטעם הנאשם </w:t>
      </w:r>
      <w:r>
        <w:rPr>
          <w:u w:val="none"/>
        </w:rPr>
        <w:t>1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הובא וע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י 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מיכאל כרמל בהעברה מעו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שלומי שרון</w:t>
      </w:r>
    </w:p>
    <w:p>
      <w:pPr>
        <w:pStyle w:val="Normal"/>
        <w:spacing w:lineRule="auto" w:line="360"/>
        <w:ind w:end="0"/>
        <w:jc w:val="both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/>
      </w:pPr>
      <w:bookmarkStart w:id="4" w:name="PsakDin"/>
      <w:bookmarkEnd w:id="4"/>
      <w:r>
        <w:rPr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bookmarkStart w:id="5" w:name="ABSTRACT_START"/>
      <w:bookmarkEnd w:id="5"/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הנאשם</w:t>
      </w:r>
      <w:r>
        <w:rPr>
          <w:rtl w:val="true"/>
        </w:rPr>
        <w:t xml:space="preserve">")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 xml:space="preserve">פי הודאתו בעובדות כתב האישום המתוקן מיום </w:t>
      </w:r>
      <w:r>
        <w:rPr/>
        <w:t>04.06.12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כתב האישום</w:t>
      </w:r>
      <w:r>
        <w:rPr>
          <w:rtl w:val="true"/>
        </w:rPr>
        <w:t xml:space="preserve">"), </w:t>
      </w:r>
      <w:r>
        <w:rPr>
          <w:rtl w:val="true"/>
        </w:rPr>
        <w:t xml:space="preserve">בביצוע עבירות של </w:t>
      </w:r>
      <w:r>
        <w:rPr>
          <w:u w:val="single"/>
          <w:rtl w:val="true"/>
        </w:rPr>
        <w:t>גרימת חבלה חמורה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סעיפים </w:t>
      </w:r>
      <w:r>
        <w:rPr/>
        <w:t>333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335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ו</w:t>
      </w:r>
      <w:r>
        <w:rPr>
          <w:u w:val="single"/>
          <w:rtl w:val="true"/>
        </w:rPr>
        <w:t>החזקת נשק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 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המפורט בכתב האישום</w:t>
      </w:r>
      <w:r>
        <w:rPr>
          <w:rtl w:val="true"/>
        </w:rPr>
        <w:t xml:space="preserve">, </w:t>
      </w:r>
      <w:r>
        <w:rPr>
          <w:rtl w:val="true"/>
        </w:rPr>
        <w:t>בין הנאשם ומשפחתו לבין  קרובי משפחתם ממשפחת טבאש</w:t>
      </w:r>
      <w:r>
        <w:rPr>
          <w:rtl w:val="true"/>
        </w:rPr>
        <w:t xml:space="preserve">, </w:t>
      </w:r>
      <w:r>
        <w:rPr>
          <w:rtl w:val="true"/>
        </w:rPr>
        <w:t>בהם סעיד</w:t>
      </w:r>
      <w:r>
        <w:rPr>
          <w:rtl w:val="true"/>
        </w:rPr>
        <w:t xml:space="preserve">, </w:t>
      </w:r>
      <w:r>
        <w:rPr>
          <w:rtl w:val="true"/>
        </w:rPr>
        <w:t>לואי ומתקאל טבאש</w:t>
      </w:r>
      <w:r>
        <w:rPr>
          <w:rtl w:val="true"/>
        </w:rPr>
        <w:t xml:space="preserve">, </w:t>
      </w:r>
      <w:r>
        <w:rPr>
          <w:rtl w:val="true"/>
        </w:rPr>
        <w:t>שרר סכסוך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14.01.12</w:t>
      </w:r>
      <w:r>
        <w:rPr>
          <w:rtl w:val="true"/>
        </w:rPr>
        <w:t xml:space="preserve"> </w:t>
      </w:r>
      <w:r>
        <w:rPr>
          <w:rtl w:val="true"/>
        </w:rPr>
        <w:t>בשעות הצהריים</w:t>
      </w:r>
      <w:r>
        <w:rPr>
          <w:rtl w:val="true"/>
        </w:rPr>
        <w:t xml:space="preserve">, </w:t>
      </w:r>
      <w:r>
        <w:rPr>
          <w:rtl w:val="true"/>
        </w:rPr>
        <w:t>הותקף מתקאל על רקע הסכסוך המדובר</w:t>
      </w:r>
      <w:r>
        <w:rPr>
          <w:rtl w:val="true"/>
        </w:rPr>
        <w:t xml:space="preserve">, </w:t>
      </w:r>
      <w:r>
        <w:rPr>
          <w:rtl w:val="true"/>
        </w:rPr>
        <w:t>הוא הוכה וחלון רכבו נופץ</w:t>
      </w:r>
      <w:r>
        <w:rPr>
          <w:rtl w:val="true"/>
        </w:rPr>
        <w:t xml:space="preserve">. </w:t>
      </w:r>
      <w:r>
        <w:rPr>
          <w:rtl w:val="true"/>
        </w:rPr>
        <w:t>סמוך לאחר מכן התפתח עימות אלים בין בני משפחתו של מתקאל</w:t>
      </w:r>
      <w:r>
        <w:rPr>
          <w:rtl w:val="true"/>
        </w:rPr>
        <w:t xml:space="preserve">, </w:t>
      </w:r>
      <w:r>
        <w:rPr>
          <w:rtl w:val="true"/>
        </w:rPr>
        <w:t>בהם סעיד ולואי</w:t>
      </w:r>
      <w:r>
        <w:rPr>
          <w:rtl w:val="true"/>
        </w:rPr>
        <w:t xml:space="preserve">, </w:t>
      </w:r>
      <w:r>
        <w:rPr>
          <w:rtl w:val="true"/>
        </w:rPr>
        <w:t>לבין הנאשמים ובני משפחתם</w:t>
      </w:r>
      <w:r>
        <w:rPr>
          <w:rtl w:val="true"/>
        </w:rPr>
        <w:t xml:space="preserve">. </w:t>
      </w:r>
      <w:r>
        <w:rPr>
          <w:rtl w:val="true"/>
        </w:rPr>
        <w:t>במהלך העימות החזיק הנאשם אקדח</w:t>
      </w:r>
      <w:r>
        <w:rPr>
          <w:rtl w:val="true"/>
        </w:rPr>
        <w:t xml:space="preserve">, </w:t>
      </w:r>
      <w:r>
        <w:rPr>
          <w:rtl w:val="true"/>
        </w:rPr>
        <w:t>מבלי שהיה בידו רישיון לעשות כן</w:t>
      </w:r>
      <w:r>
        <w:rPr>
          <w:rtl w:val="true"/>
        </w:rPr>
        <w:t xml:space="preserve">. </w:t>
      </w:r>
      <w:r>
        <w:rPr>
          <w:rtl w:val="true"/>
        </w:rPr>
        <w:t>בשלב מסוים הנאשם ירה בסעיד ממרחק של מטרים ספורים</w:t>
      </w:r>
      <w:r>
        <w:rPr>
          <w:rtl w:val="true"/>
        </w:rPr>
        <w:t xml:space="preserve">, </w:t>
      </w:r>
      <w:r>
        <w:rPr>
          <w:rtl w:val="true"/>
        </w:rPr>
        <w:t>פגע ברגלו של סעיד</w:t>
      </w:r>
      <w:r>
        <w:rPr>
          <w:rtl w:val="true"/>
        </w:rPr>
        <w:t xml:space="preserve">, </w:t>
      </w:r>
      <w:r>
        <w:rPr>
          <w:rtl w:val="true"/>
        </w:rPr>
        <w:t>פצע אותו וגרם לו לחבלה חמורה</w:t>
      </w:r>
      <w:r>
        <w:rPr>
          <w:rtl w:val="true"/>
        </w:rPr>
        <w:t xml:space="preserve">. </w:t>
      </w:r>
      <w:r>
        <w:rPr>
          <w:rtl w:val="true"/>
        </w:rPr>
        <w:t xml:space="preserve">סעיד פונה עקב הפציעה לבית החולים </w:t>
      </w:r>
      <w:r>
        <w:rPr>
          <w:rtl w:val="true"/>
        </w:rPr>
        <w:t>"</w:t>
      </w:r>
      <w:r>
        <w:rPr>
          <w:rtl w:val="true"/>
        </w:rPr>
        <w:t>העמק</w:t>
      </w:r>
      <w:r>
        <w:rPr>
          <w:rtl w:val="true"/>
        </w:rPr>
        <w:t xml:space="preserve">", </w:t>
      </w:r>
      <w:r>
        <w:rPr>
          <w:rtl w:val="true"/>
        </w:rPr>
        <w:t xml:space="preserve">נותח ואושפז עד ליום </w:t>
      </w:r>
      <w:r>
        <w:rPr/>
        <w:t>25.1.12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במסגרת הסדר הטיעון אליו הגיעו הצדדים בתיק</w:t>
      </w:r>
      <w:r>
        <w:rPr>
          <w:rtl w:val="true"/>
        </w:rPr>
        <w:t xml:space="preserve">, </w:t>
      </w:r>
      <w:r>
        <w:rPr>
          <w:rtl w:val="true"/>
        </w:rPr>
        <w:t xml:space="preserve">הוסכם כי המאשימה תעתור לעונש של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ובנוסף לחייבו בפיצוי ולהטיל עליו מאסר מותנה</w:t>
      </w:r>
      <w:r>
        <w:rPr>
          <w:rtl w:val="true"/>
        </w:rPr>
        <w:t xml:space="preserve">, </w:t>
      </w:r>
      <w:r>
        <w:rPr>
          <w:rtl w:val="true"/>
        </w:rPr>
        <w:t>ואילו הסנגור יטען למאסר החופף את התקופה בה הנאשם היה נתון במעצר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מן התסקיר עולה כי הנאשם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נשוי מזה כשנתיים ואב לתינוק</w:t>
      </w:r>
      <w:r>
        <w:rPr>
          <w:rtl w:val="true"/>
        </w:rPr>
        <w:t xml:space="preserve">. </w:t>
      </w:r>
      <w:r>
        <w:rPr>
          <w:rtl w:val="true"/>
        </w:rPr>
        <w:t>טרם מעצרו ניהל מוסך פרטי</w:t>
      </w:r>
      <w:r>
        <w:rPr>
          <w:rtl w:val="true"/>
        </w:rPr>
        <w:t xml:space="preserve">, </w:t>
      </w:r>
      <w:r>
        <w:rPr>
          <w:rtl w:val="true"/>
        </w:rPr>
        <w:t>אותו ירש מאביו שנפטר לפני כשלוש שנים</w:t>
      </w:r>
      <w:r>
        <w:rPr>
          <w:rtl w:val="true"/>
        </w:rPr>
        <w:t xml:space="preserve">. </w:t>
      </w:r>
      <w:r>
        <w:rPr>
          <w:rtl w:val="true"/>
        </w:rPr>
        <w:t>קצין המבחן התרשם כי הנאשם טרם עיבד את החוויה של אובדן האב</w:t>
      </w:r>
      <w:r>
        <w:rPr>
          <w:rtl w:val="true"/>
        </w:rPr>
        <w:t xml:space="preserve">, </w:t>
      </w:r>
      <w:r>
        <w:rPr>
          <w:rtl w:val="true"/>
        </w:rPr>
        <w:t>וכן כי חש עקב מות האב אחריות כבדה כלפי בני 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בפני קצין המבחן הציג הנאשם את האירוע באופן שאינו תואם את עובדות כתב האישום</w:t>
      </w:r>
      <w:r>
        <w:rPr>
          <w:rtl w:val="true"/>
        </w:rPr>
        <w:t xml:space="preserve">, </w:t>
        <w:tab/>
      </w:r>
      <w:r>
        <w:rPr>
          <w:rtl w:val="true"/>
        </w:rPr>
        <w:t>בהן הודה כאמור</w:t>
      </w:r>
      <w:r>
        <w:rPr>
          <w:rtl w:val="true"/>
        </w:rPr>
        <w:t xml:space="preserve">, </w:t>
      </w:r>
      <w:r>
        <w:rPr>
          <w:rtl w:val="true"/>
        </w:rPr>
        <w:t xml:space="preserve">כשלדבריו ביקש להרחיק מהזירה אקדח שנפל לאחד המשתתפים </w:t>
      </w:r>
      <w:r>
        <w:rPr>
          <w:rtl w:val="true"/>
        </w:rPr>
        <w:tab/>
      </w:r>
      <w:r>
        <w:rPr>
          <w:rtl w:val="true"/>
        </w:rPr>
        <w:t>בתגרה</w:t>
      </w:r>
      <w:r>
        <w:rPr>
          <w:rtl w:val="true"/>
        </w:rPr>
        <w:t xml:space="preserve">, </w:t>
      </w:r>
      <w:r>
        <w:rPr>
          <w:rtl w:val="true"/>
        </w:rPr>
        <w:t>ובמהלך פעולתו זו נפלט הכדור שפגע בסעיד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בסיכום דבריו ציין קצין המבחן כי הנאשם הותיר רושם של צעיר הנוטה להתנהגות אימפולסיבית במצבי משבר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קצין המבחן התרשם כי מדובר באדם בעל יסודות חיוביים המתפקד באופן חיובי ונורמטיבי</w:t>
      </w:r>
      <w:r>
        <w:rPr>
          <w:rtl w:val="true"/>
        </w:rPr>
        <w:t xml:space="preserve">, </w:t>
      </w:r>
      <w:r>
        <w:rPr>
          <w:rtl w:val="true"/>
        </w:rPr>
        <w:t>ללא דפוסים אלימים מושרשים או קווים מניפולטיביים באישיותו</w:t>
      </w:r>
      <w:r>
        <w:rPr>
          <w:rtl w:val="true"/>
        </w:rPr>
        <w:t xml:space="preserve">. </w:t>
      </w:r>
      <w:r>
        <w:rPr>
          <w:rtl w:val="true"/>
        </w:rPr>
        <w:t>ביחס למעשיו</w:t>
      </w:r>
      <w:r>
        <w:rPr>
          <w:rtl w:val="true"/>
        </w:rPr>
        <w:t xml:space="preserve">, </w:t>
      </w:r>
      <w:r>
        <w:rPr>
          <w:rtl w:val="true"/>
        </w:rPr>
        <w:t>ציין קצין המבחן כי הנאשם הכה על חטא</w:t>
      </w:r>
      <w:r>
        <w:rPr>
          <w:rtl w:val="true"/>
        </w:rPr>
        <w:t xml:space="preserve">, </w:t>
      </w:r>
      <w:r>
        <w:rPr>
          <w:rtl w:val="true"/>
        </w:rPr>
        <w:t>וגילה מודעות ואמפתיה לפגיעתו בסעיד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בסוף דבריו ציין קצין המבחן כי עונש של מאסר לתקופה לא ממושכת</w:t>
      </w:r>
      <w:r>
        <w:rPr>
          <w:rtl w:val="true"/>
        </w:rPr>
        <w:t xml:space="preserve">, </w:t>
      </w:r>
      <w:r>
        <w:rPr>
          <w:rtl w:val="true"/>
        </w:rPr>
        <w:t xml:space="preserve">יש בו להוות עבור </w:t>
      </w:r>
      <w:r>
        <w:rPr>
          <w:rtl w:val="true"/>
        </w:rPr>
        <w:tab/>
      </w:r>
      <w:r>
        <w:rPr>
          <w:rtl w:val="true"/>
        </w:rPr>
        <w:t>הנאשם גורם מציב גבולות לעתיד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הצדדים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המאשימה סבורה כי העונש הראוי במקרה דנן הוא של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נוסף על חיובו בפיצוי למתלונן ומאסר מותנה</w:t>
      </w:r>
      <w:r>
        <w:rPr>
          <w:rtl w:val="true"/>
        </w:rPr>
        <w:t xml:space="preserve">. </w:t>
      </w:r>
      <w:r>
        <w:rPr>
          <w:rtl w:val="true"/>
        </w:rPr>
        <w:t>לדברי בא</w:t>
      </w:r>
      <w:r>
        <w:rPr>
          <w:rtl w:val="true"/>
        </w:rPr>
        <w:t>-</w:t>
      </w:r>
      <w:r>
        <w:rPr>
          <w:rtl w:val="true"/>
        </w:rPr>
        <w:t>כוח המאשימה</w:t>
      </w:r>
      <w:r>
        <w:rPr>
          <w:rtl w:val="true"/>
        </w:rPr>
        <w:t xml:space="preserve">, </w:t>
      </w:r>
      <w:r>
        <w:rPr>
          <w:rtl w:val="true"/>
        </w:rPr>
        <w:t>יש לראות בחומרה רבה את השימוש בנשק חם במהלך עימות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tl w:val="true"/>
        </w:rPr>
        <w:t>ו</w:t>
      </w:r>
      <w:r>
        <w:rPr>
          <w:rtl w:val="true"/>
        </w:rPr>
        <w:t>דאי כשמדובר בנשק המוחזק שלא כדין</w:t>
      </w:r>
      <w:r>
        <w:rPr>
          <w:rtl w:val="true"/>
        </w:rPr>
        <w:t xml:space="preserve">. </w:t>
      </w:r>
      <w:r>
        <w:rPr>
          <w:rtl w:val="true"/>
        </w:rPr>
        <w:t>עוד נטען כי כלי הנשק לא נמצא עד עצם היום הזה</w:t>
      </w:r>
      <w:r>
        <w:rPr>
          <w:rtl w:val="true"/>
        </w:rPr>
        <w:t xml:space="preserve">, </w:t>
      </w:r>
      <w:r>
        <w:rPr>
          <w:rtl w:val="true"/>
        </w:rPr>
        <w:t>וכן כי יש לראות בעצם החזקתו מעשה חמור המחייב ענישה מרתיעה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 הפנתה המאשימה בטיעוניה לנזק שנגרם למתלונן</w:t>
      </w:r>
      <w:r>
        <w:rPr>
          <w:rtl w:val="true"/>
        </w:rPr>
        <w:t xml:space="preserve">, </w:t>
      </w:r>
      <w:r>
        <w:rPr>
          <w:rtl w:val="true"/>
        </w:rPr>
        <w:t xml:space="preserve">שמהותו שבר מרוסק בקרסול </w:t>
      </w:r>
      <w:r>
        <w:rPr>
          <w:rtl w:val="true"/>
        </w:rPr>
        <w:tab/>
      </w:r>
      <w:r>
        <w:rPr>
          <w:rtl w:val="true"/>
        </w:rPr>
        <w:t>הרגל</w:t>
      </w:r>
      <w:r>
        <w:rPr>
          <w:rtl w:val="true"/>
        </w:rPr>
        <w:t xml:space="preserve">, </w:t>
      </w:r>
      <w:r>
        <w:rPr>
          <w:rtl w:val="true"/>
        </w:rPr>
        <w:t>כשלדבריה יש לתת משקל גם לעניין זה בעת קביעת 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המאשימה הפנתה בטיעוניה לפסיקת בתי המשפט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בהם הוטלו על </w:t>
      </w:r>
      <w:r>
        <w:rPr>
          <w:rtl w:val="true"/>
        </w:rPr>
        <w:tab/>
      </w:r>
      <w:r>
        <w:rPr>
          <w:rtl w:val="true"/>
        </w:rPr>
        <w:t xml:space="preserve">נאשמים עונשים של בין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הסנגור הפנה בטיעוניו לגילו הצעיר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ולכך שגיליון המרשם הפלילי כולל רישום יחיד ללא הרשעה משנת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בשל עבירה של החזקת סכין</w:t>
      </w:r>
      <w:r>
        <w:rPr>
          <w:rtl w:val="true"/>
        </w:rPr>
        <w:t xml:space="preserve">. </w:t>
      </w:r>
      <w:r>
        <w:rPr>
          <w:rtl w:val="true"/>
        </w:rPr>
        <w:t>עוד טען כי הנאשם התייתם מאביו לפני כשלוש שנים</w:t>
      </w:r>
      <w:r>
        <w:rPr>
          <w:rtl w:val="true"/>
        </w:rPr>
        <w:t xml:space="preserve">, </w:t>
      </w:r>
      <w:r>
        <w:rPr>
          <w:rtl w:val="true"/>
        </w:rPr>
        <w:t>ושמאז משמש כמפרנס היחיד של משפחתו</w:t>
      </w:r>
      <w:r>
        <w:rPr>
          <w:rtl w:val="true"/>
        </w:rPr>
        <w:t xml:space="preserve">, </w:t>
      </w:r>
      <w:r>
        <w:rPr>
          <w:rtl w:val="true"/>
        </w:rPr>
        <w:t>ושהינו אב לילד רך בשנים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לעניין העונש יש להתחשב בכך שהנאשם הודה בעובדות כתב האישום וקיבל </w:t>
      </w:r>
      <w:r>
        <w:rPr>
          <w:rtl w:val="true"/>
        </w:rPr>
        <w:tab/>
      </w:r>
      <w:r>
        <w:rPr>
          <w:rtl w:val="true"/>
        </w:rPr>
        <w:t>אחריות למעשיו</w:t>
      </w:r>
      <w:r>
        <w:rPr>
          <w:rtl w:val="true"/>
        </w:rPr>
        <w:t xml:space="preserve">, </w:t>
      </w:r>
      <w:r>
        <w:rPr>
          <w:rtl w:val="true"/>
        </w:rPr>
        <w:t>ובכך שמדובר באדם ללא דפוסים עבריינים</w:t>
      </w:r>
      <w:r>
        <w:rPr>
          <w:rtl w:val="true"/>
        </w:rPr>
        <w:t xml:space="preserve">, </w:t>
      </w:r>
      <w:r>
        <w:rPr>
          <w:rtl w:val="true"/>
        </w:rPr>
        <w:t xml:space="preserve">כפי שעולה מתסקיר שירות </w:t>
      </w:r>
      <w:r>
        <w:rPr>
          <w:rtl w:val="true"/>
        </w:rPr>
        <w:tab/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ביחס לפסקי הדין אליהם הפנתה המאשימה בטיעוניה</w:t>
      </w:r>
      <w:r>
        <w:rPr>
          <w:rtl w:val="true"/>
        </w:rPr>
        <w:t xml:space="preserve">, </w:t>
      </w:r>
      <w:r>
        <w:rPr>
          <w:rtl w:val="true"/>
        </w:rPr>
        <w:t xml:space="preserve">השיב הסנגור כי מדובר במקרים </w:t>
      </w:r>
      <w:r>
        <w:rPr>
          <w:rtl w:val="true"/>
        </w:rPr>
        <w:tab/>
      </w:r>
      <w:r>
        <w:rPr>
          <w:rtl w:val="true"/>
        </w:rPr>
        <w:t>המשקפים נסיבות חמורות יותר</w:t>
      </w:r>
      <w:r>
        <w:rPr>
          <w:rtl w:val="true"/>
        </w:rPr>
        <w:t xml:space="preserve">, </w:t>
      </w:r>
      <w:r>
        <w:rPr>
          <w:rtl w:val="true"/>
        </w:rPr>
        <w:t>שבוצעו תוך תכנון מוקדם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מעשיו של הנאשם הם חמורים אף ללא קשר לתוצאתם</w:t>
      </w:r>
      <w:r>
        <w:rPr>
          <w:rtl w:val="true"/>
        </w:rPr>
        <w:t xml:space="preserve">, </w:t>
      </w:r>
      <w:r>
        <w:rPr>
          <w:rtl w:val="true"/>
        </w:rPr>
        <w:t>שכן עצם החזקת האקדח והשימוש בו יש בהם להוות סיכון לחייהם ולגופם של אנשים</w:t>
      </w:r>
      <w:r>
        <w:rPr>
          <w:rtl w:val="true"/>
        </w:rPr>
        <w:t xml:space="preserve">. </w:t>
      </w:r>
      <w:r>
        <w:rPr>
          <w:rtl w:val="true"/>
        </w:rPr>
        <w:t>שימוש מכוון באקדח מוסיף על החומרה הכרוכה בעצם החזקתו</w:t>
      </w:r>
      <w:r>
        <w:rPr>
          <w:rtl w:val="true"/>
        </w:rPr>
        <w:t xml:space="preserve">, </w:t>
      </w:r>
      <w:r>
        <w:rPr>
          <w:rtl w:val="true"/>
        </w:rPr>
        <w:t>וב</w:t>
      </w:r>
      <w:r>
        <w:rPr>
          <w:rtl w:val="true"/>
        </w:rPr>
        <w:t>ו</w:t>
      </w:r>
      <w:r>
        <w:rPr>
          <w:rtl w:val="true"/>
        </w:rPr>
        <w:t>ודאי כאשר הוא מוביל לפגיעה בגופו של אדם</w:t>
      </w:r>
      <w:r>
        <w:rPr>
          <w:rtl w:val="true"/>
        </w:rPr>
        <w:t xml:space="preserve">. </w:t>
      </w:r>
      <w:r>
        <w:rPr>
          <w:rtl w:val="true"/>
        </w:rPr>
        <w:t>מעשים אלה מחייבים תגובה עונשית הולמת הכוללת עונש של מאסר מאחורי סורג ובריח</w:t>
      </w:r>
      <w:r>
        <w:rPr>
          <w:rtl w:val="true"/>
        </w:rPr>
        <w:t xml:space="preserve">, </w:t>
      </w:r>
      <w:r>
        <w:rPr>
          <w:rtl w:val="true"/>
        </w:rPr>
        <w:t>וכאשר רק במקרים חריגים יסטו בתי המשפט מן העיקרון אשר הותווה בפסיקת בית המשפט 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כתב האישום אינו מפרט בנוגע לסכסוך אשר קדם לאירוע הירי</w:t>
      </w:r>
      <w:r>
        <w:rPr>
          <w:rtl w:val="true"/>
        </w:rPr>
        <w:t xml:space="preserve">, </w:t>
      </w:r>
      <w:r>
        <w:rPr>
          <w:rtl w:val="true"/>
        </w:rPr>
        <w:t>אולם ניתן להבין כי לאירוע הנקודתי במהלכו ירה הנאשם בסעיד</w:t>
      </w:r>
      <w:r>
        <w:rPr>
          <w:rtl w:val="true"/>
        </w:rPr>
        <w:t xml:space="preserve">, </w:t>
      </w:r>
      <w:r>
        <w:rPr>
          <w:rtl w:val="true"/>
        </w:rPr>
        <w:t>קדם אירוע אלים נוסף</w:t>
      </w:r>
      <w:r>
        <w:rPr>
          <w:rtl w:val="true"/>
        </w:rPr>
        <w:t xml:space="preserve">. </w:t>
      </w:r>
      <w:r>
        <w:rPr>
          <w:rtl w:val="true"/>
        </w:rPr>
        <w:t>בכך אין ללמד כי לירי עצמו קדם תכנון מוקדם</w:t>
      </w:r>
      <w:r>
        <w:rPr>
          <w:rtl w:val="true"/>
        </w:rPr>
        <w:t xml:space="preserve">, </w:t>
      </w:r>
      <w:r>
        <w:rPr>
          <w:rtl w:val="true"/>
        </w:rPr>
        <w:t>כטענת המאשימה</w:t>
      </w:r>
      <w:r>
        <w:rPr>
          <w:rtl w:val="true"/>
        </w:rPr>
        <w:t xml:space="preserve">, </w:t>
      </w:r>
      <w:r>
        <w:rPr>
          <w:rtl w:val="true"/>
        </w:rPr>
        <w:t>אולם יש לראות בחומרה את עצם ההשתתפות בתגרה בשעה שהנאשם נושא על גופו אקדח מבלי שיש בידיו רישיון לעשות כן</w:t>
      </w:r>
      <w:r>
        <w:rPr>
          <w:rtl w:val="true"/>
        </w:rPr>
        <w:t xml:space="preserve">, </w:t>
      </w:r>
      <w:r>
        <w:rPr>
          <w:rtl w:val="true"/>
        </w:rPr>
        <w:t>אף מבלי להתייחס לשאלה האם התכוון לעשות בו שימוש עוד טרם לכן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גרימת חבלה באמצעות אקדח אותו נושא נאשם שלא כדין</w:t>
      </w:r>
      <w:r>
        <w:rPr>
          <w:rtl w:val="true"/>
        </w:rPr>
        <w:t xml:space="preserve">, </w:t>
      </w:r>
      <w:r>
        <w:rPr>
          <w:rtl w:val="true"/>
        </w:rPr>
        <w:t>מצדיקה על</w:t>
      </w:r>
      <w:r>
        <w:rPr>
          <w:rtl w:val="true"/>
        </w:rPr>
        <w:t>-</w:t>
      </w:r>
      <w:r>
        <w:rPr>
          <w:rtl w:val="true"/>
        </w:rPr>
        <w:t>פי רוב שליחתו של הנאשם למאסר ממושך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וכפי שהדברים חוזרים ונשנים בפסיקת בתי המשפט</w:t>
      </w:r>
      <w:r>
        <w:rPr>
          <w:rtl w:val="true"/>
        </w:rPr>
        <w:t xml:space="preserve">, </w:t>
      </w:r>
      <w:r>
        <w:rPr>
          <w:rtl w:val="true"/>
        </w:rPr>
        <w:t>מלאכת גזירת הדין נעשית תוך התייחסות הן למעשה והן לעושה</w:t>
      </w:r>
      <w:r>
        <w:rPr>
          <w:rtl w:val="true"/>
        </w:rPr>
        <w:t xml:space="preserve">. </w:t>
      </w:r>
      <w:r>
        <w:rPr>
          <w:rtl w:val="true"/>
        </w:rPr>
        <w:t>נסיבותיו האישיות של העבריין עומדות לנגדי עיניו של בית המשפט</w:t>
      </w:r>
      <w:r>
        <w:rPr>
          <w:rtl w:val="true"/>
        </w:rPr>
        <w:t xml:space="preserve">, </w:t>
      </w:r>
      <w:r>
        <w:rPr>
          <w:rtl w:val="true"/>
        </w:rPr>
        <w:t>אף כי אינן מהוות שיקול מרכזי בעת גזירת הדין אלא במצבים חריגים ומיוחדים המצדיקים העדפתם של שיקולי שיקום</w:t>
      </w:r>
      <w:r>
        <w:rPr>
          <w:rtl w:val="true"/>
        </w:rPr>
        <w:t xml:space="preserve">. </w:t>
      </w:r>
      <w:r>
        <w:rPr>
          <w:rtl w:val="true"/>
        </w:rPr>
        <w:t>גישה זו אימץ אף המחוקק</w:t>
      </w:r>
      <w:r>
        <w:rPr>
          <w:rtl w:val="true"/>
        </w:rPr>
        <w:t xml:space="preserve">, </w:t>
      </w:r>
      <w:r>
        <w:rPr>
          <w:rtl w:val="true"/>
        </w:rPr>
        <w:t>כפי שהדברים באים לידי ביטוי ב</w:t>
      </w:r>
      <w:hyperlink r:id="rId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1912</w:t>
      </w:r>
      <w:r>
        <w:rPr>
          <w:rtl w:val="true"/>
        </w:rPr>
        <w:t xml:space="preserve">. </w:t>
      </w:r>
      <w:r>
        <w:rPr>
          <w:rtl w:val="true"/>
        </w:rPr>
        <w:t>עמד על הדברים כבוד השופט א</w:t>
      </w:r>
      <w:r>
        <w:rPr>
          <w:rtl w:val="true"/>
        </w:rPr>
        <w:t xml:space="preserve">' </w:t>
      </w:r>
      <w:r>
        <w:rPr>
          <w:rtl w:val="true"/>
        </w:rPr>
        <w:t>רובינשטיין ב</w:t>
      </w:r>
      <w:hyperlink r:id="rId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2609/12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עובדיה חלבי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 xml:space="preserve">, </w:t>
      </w:r>
      <w:r>
        <w:rPr/>
        <w:t>19.08.12</w:t>
      </w:r>
      <w:r>
        <w:rPr>
          <w:rtl w:val="true"/>
        </w:rPr>
        <w:t>):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851" w:end="851"/>
        <w:jc w:val="both"/>
        <w:rPr>
          <w:b/>
          <w:bCs/>
        </w:rPr>
      </w:pPr>
      <w:r>
        <w:rPr>
          <w:rtl w:val="true"/>
        </w:rPr>
        <w:tab/>
        <w:t>"</w:t>
      </w:r>
      <w:r>
        <w:rPr>
          <w:b/>
          <w:b/>
          <w:bCs/>
          <w:rtl w:val="true"/>
        </w:rPr>
        <w:t xml:space="preserve">מדיניות ענישה ראויה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תולה עצמה בנסיבותיו המיוחדות של כל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מקרה ומקרה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והעונש שיושת על עבריין חייב להלום את נסיבותיו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המיוחדות של המקרה ושל העבריין הספציפי</w:t>
      </w:r>
      <w:r>
        <w:rPr>
          <w:b/>
          <w:bCs/>
          <w:rtl w:val="true"/>
        </w:rPr>
        <w:t>" (</w:t>
      </w:r>
      <w:hyperlink r:id="rId5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3674/04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 סאלם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 בנבו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 xml:space="preserve">פסקה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- </w:t>
      </w:r>
      <w:r>
        <w:rPr>
          <w:b/>
          <w:b/>
          <w:bCs/>
          <w:rtl w:val="true"/>
        </w:rPr>
        <w:t>המשנה לנשיא מ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חשין</w:t>
      </w:r>
      <w:r>
        <w:rPr>
          <w:b/>
          <w:bCs/>
          <w:rtl w:val="true"/>
        </w:rPr>
        <w:t>).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לכך נדרשו גם חברי בעניין אבו זניד ובעניין אבו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גוש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וכך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מקובלנו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נביאים –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אִישׁ כִּדְרָכָיו אֶשְׁפּוֹט אֶתְכֶם בֵּית ִשְׂרָאֵל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יחזקאל 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')."</w:t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הנאשם העומד לפניי הינו אדם צעיר שאינו בעל עבר פלילי מכביד</w:t>
      </w:r>
      <w:r>
        <w:rPr>
          <w:rtl w:val="true"/>
        </w:rPr>
        <w:t xml:space="preserve">, </w:t>
      </w:r>
      <w:r>
        <w:rPr>
          <w:rtl w:val="true"/>
        </w:rPr>
        <w:t>ואב לילד רך בשנים</w:t>
      </w:r>
      <w:r>
        <w:rPr>
          <w:rtl w:val="true"/>
        </w:rPr>
        <w:t xml:space="preserve">. </w:t>
      </w:r>
      <w:r>
        <w:rPr>
          <w:rtl w:val="true"/>
        </w:rPr>
        <w:t>קצין המבחן התרשם כי האירוע בגינו הורשע הנאשם בעבירות המפורטות אין בו להעיד על אורחות חייו</w:t>
      </w:r>
      <w:r>
        <w:rPr>
          <w:rtl w:val="true"/>
        </w:rPr>
        <w:t xml:space="preserve">, </w:t>
      </w:r>
      <w:r>
        <w:rPr>
          <w:rtl w:val="true"/>
        </w:rPr>
        <w:t>וכי מדובר באדם בעל יסודות חיוביים</w:t>
      </w:r>
      <w:r>
        <w:rPr>
          <w:rtl w:val="true"/>
        </w:rPr>
        <w:t xml:space="preserve">. </w:t>
      </w:r>
      <w:r>
        <w:rPr>
          <w:rtl w:val="true"/>
        </w:rPr>
        <w:t>מכאן יש להסיק כי קיימים סיכויים טובים לשקם את דרכיו של הנאשם ולהשיבו אל התלם</w:t>
      </w:r>
      <w:r>
        <w:rPr>
          <w:rtl w:val="true"/>
        </w:rPr>
        <w:t xml:space="preserve">. </w:t>
      </w:r>
      <w:r>
        <w:rPr>
          <w:rtl w:val="true"/>
        </w:rPr>
        <w:t>הן בשל עובדה זו</w:t>
      </w:r>
      <w:r>
        <w:rPr>
          <w:rtl w:val="true"/>
        </w:rPr>
        <w:t xml:space="preserve">, </w:t>
      </w:r>
      <w:r>
        <w:rPr>
          <w:rtl w:val="true"/>
        </w:rPr>
        <w:t>והן בשל העובדה כי הנאשם הוא אב לילד קטן אשר מן הסתם ניזוק משהייתו של אביו בבית הכלא</w:t>
      </w:r>
      <w:r>
        <w:rPr>
          <w:rtl w:val="true"/>
        </w:rPr>
        <w:t xml:space="preserve">, </w:t>
      </w:r>
      <w:r>
        <w:rPr>
          <w:rtl w:val="true"/>
        </w:rPr>
        <w:t>החלטתי שלא למצות את הדין עם הנאשם ולהטיל עליו עונש של מאסר לתקופה פחותה מזו לה עותרת המאשימה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אני מטיל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בניכוי ימי מעצרו מיום </w:t>
      </w:r>
      <w:r>
        <w:rPr/>
        <w:t>14.01.12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 הוא שהנאשם לא יעבור בפרק זמן זה עבירת אלימות או נשק שיורשע בגינה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פיצוי למתלונן</w:t>
      </w:r>
      <w:r>
        <w:rPr>
          <w:rtl w:val="true"/>
        </w:rPr>
        <w:t xml:space="preserve">, </w:t>
      </w:r>
      <w:r>
        <w:rPr>
          <w:rtl w:val="true"/>
        </w:rPr>
        <w:t>סעיד טבאש</w:t>
      </w:r>
      <w:r>
        <w:rPr>
          <w:rtl w:val="true"/>
        </w:rPr>
        <w:t xml:space="preserve">, </w:t>
      </w:r>
      <w:r>
        <w:rPr>
          <w:rtl w:val="true"/>
        </w:rPr>
        <w:t xml:space="preserve">בסך </w:t>
      </w:r>
      <w:r>
        <w:rPr/>
        <w:t>10,000</w:t>
      </w:r>
      <w:r>
        <w:rPr>
          <w:rtl w:val="true"/>
        </w:rPr>
        <w:t xml:space="preserve"> ₪. </w:t>
      </w:r>
      <w:r>
        <w:rPr>
          <w:rtl w:val="true"/>
        </w:rPr>
        <w:t>סכום זה יופקד בקופת ביהמ</w:t>
      </w:r>
      <w:r>
        <w:rPr>
          <w:rtl w:val="true"/>
        </w:rPr>
        <w:t>"</w:t>
      </w:r>
      <w:r>
        <w:rPr>
          <w:rtl w:val="true"/>
        </w:rPr>
        <w:t xml:space="preserve">ש לזכותו של המתלונן בתוך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יום מהיום שאם לא כן יישא הסכום הפרשי הצמדה וריבית מיום ביצוע העבירה ועד התשלום המלא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 xml:space="preserve">קנס בסך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 מאסר תמורתו בנוסף לכל מאסר אחר שהנאשם מרצה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בתוך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#6#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keepNext w:val="true"/>
        <w:spacing w:lineRule="auto" w:line="360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תשרי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19/09/2012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תאופיק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כתילי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44317-01-12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מוסטפא טבאש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inks/psika/?link=&#1512;&#1506;&#1508;%202609/12" TargetMode="External"/><Relationship Id="rId5" Type="http://schemas.openxmlformats.org/officeDocument/2006/relationships/hyperlink" Target="http://www.nevo.co.il/links/psika/?link=&#1512;&#1506;&#1508;%203674/04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2013-03-03T07:39:00Z</dcterms:created>
  <dc:creator> </dc:creator>
  <dc:description/>
  <cp:keywords/>
  <dc:language>en-IL</dc:language>
  <cp:lastModifiedBy>orit</cp:lastModifiedBy>
  <dcterms:modified xsi:type="dcterms:W3CDTF">2013-03-03T07:39:00Z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EE">
    <vt:lpwstr>מוסטפא טבאש;פואד חילף נדון</vt:lpwstr>
  </property>
  <property fmtid="{D5CDD505-2E9C-101B-9397-08002B2CF9AE}" pid="4" name="CITY">
    <vt:lpwstr>נצ'</vt:lpwstr>
  </property>
  <property fmtid="{D5CDD505-2E9C-101B-9397-08002B2CF9AE}" pid="5" name="DATE">
    <vt:lpwstr>20120919</vt:lpwstr>
  </property>
  <property fmtid="{D5CDD505-2E9C-101B-9397-08002B2CF9AE}" pid="6" name="ISABSTRACT">
    <vt:lpwstr>Y</vt:lpwstr>
  </property>
  <property fmtid="{D5CDD505-2E9C-101B-9397-08002B2CF9AE}" pid="7" name="JUDGE">
    <vt:lpwstr>תאופיק כתילי</vt:lpwstr>
  </property>
  <property fmtid="{D5CDD505-2E9C-101B-9397-08002B2CF9AE}" pid="8" name="LAWYER">
    <vt:lpwstr>הובא ו;הובא ו מיכאל כרמל בהעברה מ שלומי שרון;עדית עמיר לוינשטיין</vt:lpwstr>
  </property>
  <property fmtid="{D5CDD505-2E9C-101B-9397-08002B2CF9AE}" pid="9" name="NEWPARTA">
    <vt:lpwstr>44317</vt:lpwstr>
  </property>
  <property fmtid="{D5CDD505-2E9C-101B-9397-08002B2CF9AE}" pid="10" name="NEWPARTB">
    <vt:lpwstr>01</vt:lpwstr>
  </property>
  <property fmtid="{D5CDD505-2E9C-101B-9397-08002B2CF9AE}" pid="11" name="NEWPARTC">
    <vt:lpwstr>12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2</vt:lpwstr>
  </property>
  <property fmtid="{D5CDD505-2E9C-101B-9397-08002B2CF9AE}" pid="15" name="TYPE_ABS_DATE">
    <vt:lpwstr>390020120919</vt:lpwstr>
  </property>
  <property fmtid="{D5CDD505-2E9C-101B-9397-08002B2CF9AE}" pid="16" name="TYPE_N_DATE">
    <vt:lpwstr>39020120919</vt:lpwstr>
  </property>
  <property fmtid="{D5CDD505-2E9C-101B-9397-08002B2CF9AE}" pid="17" name="WORDNUMPAGES">
    <vt:lpwstr>4</vt:lpwstr>
  </property>
</Properties>
</file>