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44380-08-16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מרכז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עבד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האדי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 w:before="0" w:after="120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 ד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 עמי קובו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סגן הנשיאה</w:t>
            </w:r>
          </w:p>
          <w:p>
            <w:pPr>
              <w:pStyle w:val="Normal"/>
              <w:spacing w:lineRule="auto" w:line="360" w:before="0" w:after="12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מרכז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מחמוד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עבד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האדי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</w:tr>
    </w:tbl>
    <w:p>
      <w:pPr>
        <w:pStyle w:val="Normal"/>
        <w:spacing w:lineRule="auto" w:line="360" w:before="0" w:after="120"/>
        <w:ind w:end="0"/>
        <w:jc w:val="start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גורני</w:t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בוק</w:t>
      </w:r>
      <w:bookmarkStart w:id="3" w:name="LawTable"/>
      <w:bookmarkEnd w:id="3"/>
      <w:r>
        <w:rPr>
          <w:rtl w:val="true"/>
        </w:rPr>
        <w:t>ר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Cs/>
                <w:sz w:val="32"/>
                <w:szCs w:val="32"/>
                <w:u w:val="single"/>
              </w:rPr>
            </w:pPr>
            <w:bookmarkStart w:id="4" w:name="PsakDin"/>
            <w:bookmarkStart w:id="5" w:name="LawTable_End"/>
            <w:bookmarkEnd w:id="4"/>
            <w:bookmarkEnd w:id="5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</w:tc>
      </w:tr>
    </w:tbl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רקע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bookmarkStart w:id="6" w:name="ABSTRACT_START"/>
      <w:bookmarkEnd w:id="6"/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להודאתו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כדלקמן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74" w:leader="none"/>
        </w:tabs>
        <w:spacing w:lineRule="auto" w:line="360" w:before="0" w:after="120"/>
        <w:ind w:hanging="771" w:start="1620" w:end="0"/>
        <w:jc w:val="both"/>
        <w:rPr>
          <w:rFonts w:ascii="David" w:hAnsi="David" w:cs="David"/>
          <w:color w:val="000000"/>
        </w:rPr>
      </w:pPr>
      <w:r>
        <w:rPr>
          <w:rFonts w:eastAsia="David"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החזקת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נשק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רישא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ז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cs="David" w:ascii="David" w:hAnsi="David"/>
          <w:color w:val="000000"/>
        </w:rPr>
        <w:t>1977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color w:val="000000"/>
          <w:rtl w:val="true"/>
        </w:rPr>
        <w:t>החוק</w:t>
      </w:r>
      <w:r>
        <w:rPr>
          <w:rFonts w:cs="David" w:ascii="David" w:hAnsi="David"/>
          <w:color w:val="000000"/>
          <w:rtl w:val="true"/>
        </w:rPr>
        <w:t>").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74" w:leader="none"/>
        </w:tabs>
        <w:spacing w:lineRule="auto" w:line="360" w:before="0" w:after="120"/>
        <w:ind w:hanging="771" w:start="16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החזקת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אביזר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סיפא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לחוק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bookmarkStart w:id="7" w:name="ABSTRACT_END"/>
      <w:bookmarkEnd w:id="7"/>
      <w:r>
        <w:rPr>
          <w:rFonts w:ascii="David" w:hAnsi="David"/>
          <w:color w:val="000000"/>
          <w:rtl w:val="true"/>
        </w:rPr>
        <w:t>על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בתאריך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31.7.16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החזיק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הנאשם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במתחם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ביתו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תת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מקלע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מאולתר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מסוג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קרל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גוסטב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עטוף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בציפה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כרית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ומוסלק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בתוך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מיכל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הדחה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בשירותים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בנוסף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החזיק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הנאשם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מחסנית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נשק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המתאימה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לרובה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אשר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הוסלקה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בתוך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מיכל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הדחה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בשירותים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הצדדים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דיוני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ונשלח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מבחן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הצהירה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בכוונתה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לעתור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נלווים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ההגנה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חופשיה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בטיעוניה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b/>
          <w:bCs/>
          <w:color w:val="000000"/>
          <w:u w:val="single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תסקיר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שירות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המבחן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26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רווק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סיים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לימוד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במקומות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כשהוא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שומר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רצף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תעסוקתי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בהתייחסו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צמצם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ממידת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מעורבות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עיסוק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חמורה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לעובדה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מוסלק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ניסיונות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להעמיק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ולהבין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בבסיס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נתקלו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בעמדות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מבוצרות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כשהוא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ומוסר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והחביא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במטרה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להרחיק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מאחיו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הקטינים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ליחסיו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מחויבות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כשהם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מהווים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עוגן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חברתי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ומשפחתית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קיימת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חשיפה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לחברה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שולית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קיימים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אצל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דפוסי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התנהגות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עשוי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מנוצל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דומיננטיים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לבחון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מעמיק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וביקורתי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התנהגויותיו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ודפוסי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חשיבותו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עמדותיו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מבוצרות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להתייחס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לעובדה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למעורבותו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השולית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האמור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יעילות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נמוכה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ומשכך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בהמלצה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בעניינו</w:t>
      </w:r>
      <w:r>
        <w:rPr>
          <w:rFonts w:cs="David" w:ascii="David" w:hAnsi="David"/>
          <w:color w:val="000000"/>
          <w:rtl w:val="true"/>
        </w:rPr>
        <w:t xml:space="preserve">.    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ראיות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לעונש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ת</w:t>
      </w:r>
      <w:r>
        <w:rPr>
          <w:rFonts w:cs="David" w:ascii="David" w:hAnsi="David"/>
          <w:color w:val="000000"/>
          <w:rtl w:val="true"/>
        </w:rPr>
        <w:t>/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– </w:t>
      </w:r>
      <w:r>
        <w:rPr>
          <w:rFonts w:ascii="David" w:hAnsi="David"/>
          <w:color w:val="000000"/>
          <w:rtl w:val="true"/>
        </w:rPr>
        <w:t>הנחיית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פרקליט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המדינה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9.16</w:t>
      </w:r>
      <w:r>
        <w:rPr>
          <w:rFonts w:cs="David" w:ascii="David" w:hAnsi="David"/>
          <w:color w:val="000000"/>
          <w:rtl w:val="true"/>
        </w:rPr>
        <w:t xml:space="preserve"> "</w:t>
      </w:r>
      <w:r>
        <w:rPr>
          <w:rFonts w:ascii="David" w:hAnsi="David"/>
          <w:color w:val="000000"/>
          <w:rtl w:val="true"/>
        </w:rPr>
        <w:t>מדיניות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ומטעני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חבלה</w:t>
      </w:r>
      <w:r>
        <w:rPr>
          <w:rFonts w:cs="David" w:ascii="David" w:hAnsi="David"/>
          <w:color w:val="000000"/>
          <w:rtl w:val="true"/>
        </w:rPr>
        <w:t>".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מוחמד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חאמד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חבר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ילדות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סטודנט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מעייניו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ללימודים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ולעבודה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באזור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פשע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האדי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אביו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 xml:space="preserve">-  </w:t>
      </w:r>
      <w:r>
        <w:rPr>
          <w:rFonts w:ascii="David" w:hAnsi="David"/>
          <w:color w:val="000000"/>
          <w:rtl w:val="true"/>
        </w:rPr>
        <w:t>המשפחה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מתגוררת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באזור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ופשע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גידל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בכבוד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טעות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מבקש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הזדמנות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לשלוח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למאסר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טיעוני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הצדדים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ינאי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גורני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יליד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1990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מקלע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מאולתר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קרל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גוסטב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כשהוא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מוסלק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בשירותים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מחסנית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מתאימה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החברתי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שנפגע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ובטחונו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קטלני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וזריעת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גופנית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חמורה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במיוחד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זמין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שמוחזק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אדם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גבוהה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רובה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מאולתר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השפעה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מעצם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העובדה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מאולתר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ללמוד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הוחזק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למטרה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לגיטימית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שהפך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לנפוץ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במחוזותינו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עטוף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ומוסלק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בשירותים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מגורים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מלמד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למטרות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מפוקפקות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מלמדות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תחכום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האמתיות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נותרו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עמומות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מצמצם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ממידת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מעורבותו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ומתקשה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להסביר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הסבריו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מתחמקים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משכנעים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החשד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הוחזק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למטרות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הנחיית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פרקליט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המדינה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ת</w:t>
      </w:r>
      <w:r>
        <w:rPr>
          <w:rFonts w:cs="David" w:ascii="David" w:hAnsi="David"/>
          <w:color w:val="000000"/>
          <w:rtl w:val="true"/>
        </w:rPr>
        <w:t>/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מבטאת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בהחמרה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במדיניות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הענישה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משנתיים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לעניין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הרובה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לעניין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המחסנית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בצורך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להרתעת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היחיד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דפוסי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ההתנהגות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התנהגות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המלצה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בעניינו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להתייחס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להרתעת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להחמיר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בענישה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נסתר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מעיני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צעיר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וחסך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מזמנו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למקומו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בתחתית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לפיכך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נלווים</w:t>
      </w:r>
      <w:r>
        <w:rPr>
          <w:rFonts w:cs="David" w:ascii="David" w:hAnsi="David"/>
          <w:color w:val="000000"/>
          <w:rtl w:val="true"/>
        </w:rPr>
        <w:t xml:space="preserve">.  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יוסי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בוקר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צעיר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עובד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נטל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והביע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חרטה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דברים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צריכים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להילקח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בחשבון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ועונשו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להיגזר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אינדיבידואלי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שנקבעו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הפרקליטות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בשכונה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מהקשות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בארץ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הראשונה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תפקידה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קצינת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לחלץ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הודאה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שהוצאה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ההנחיה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ת</w:t>
      </w:r>
      <w:r>
        <w:rPr>
          <w:rFonts w:cs="David" w:ascii="David" w:hAnsi="David"/>
          <w:color w:val="000000"/>
          <w:rtl w:val="true"/>
        </w:rPr>
        <w:t>/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להחיל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לראשונה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כחודשיים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שוהה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במעצר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בפיקוח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אלקטרוני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וחצי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ניהל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אורח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נורמטיבי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ברצף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במכללה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מקצוע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נסיבה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מחמירה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מעורבות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בסכסוך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חשד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לגניבת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24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שיתף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וישלח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הראשון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טלטלה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נתון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במעצר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עקרון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ההלימה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לזכור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עקרון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למצות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cs="David" w:ascii="David" w:hAnsi="David"/>
          <w:color w:val="000000"/>
          <w:rtl w:val="true"/>
        </w:rPr>
        <w:t xml:space="preserve">.  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דיון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 xml:space="preserve">- </w:t>
      </w:r>
      <w:r>
        <w:rPr>
          <w:bCs/>
          <w:u w:val="single"/>
          <w:rtl w:val="true"/>
          <w:lang w:eastAsia="he-IL"/>
        </w:rPr>
        <w:t>קביעת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מתחם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ההולם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ומכאן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מתחם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עונש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הולם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אחד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הערך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החברתי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וביטחונו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בית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העליון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4945/13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סלימאן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19.1.14</w:t>
      </w:r>
      <w:r>
        <w:rPr>
          <w:rFonts w:cs="David" w:ascii="David" w:hAnsi="David"/>
          <w:color w:val="000000"/>
          <w:rtl w:val="true"/>
        </w:rPr>
        <w:t xml:space="preserve">): </w:t>
      </w:r>
    </w:p>
    <w:p>
      <w:pPr>
        <w:pStyle w:val="Normal"/>
        <w:spacing w:lineRule="auto" w:line="360" w:before="0" w:after="120"/>
        <w:ind w:start="1133" w:end="426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המבוצעות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ascii="David" w:hAnsi="David"/>
          <w:color w:val="000000"/>
          <w:rtl w:val="true"/>
        </w:rPr>
        <w:t>לרבות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רכישה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החזקה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ונשיאת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ascii="David" w:hAnsi="David"/>
          <w:color w:val="000000"/>
          <w:rtl w:val="true"/>
        </w:rPr>
        <w:t>טומנות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הרסני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וביטחונו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החשש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המוחזק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לפעילות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העלולה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להביא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לקיפוח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אזרחים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תמימים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אכן</w:t>
      </w:r>
      <w:r>
        <w:rPr>
          <w:rFonts w:cs="David" w:ascii="David" w:hAnsi="David"/>
          <w:color w:val="000000"/>
          <w:rtl w:val="true"/>
        </w:rPr>
        <w:t>, "</w:t>
      </w:r>
      <w:r>
        <w:rPr>
          <w:rFonts w:ascii="David" w:hAnsi="David"/>
          <w:color w:val="000000"/>
          <w:rtl w:val="true"/>
        </w:rPr>
        <w:t>התגלגלותם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פיקוח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להוביל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להגעתם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לגורמים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ועוינים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בגורלם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תוצאות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הרסניות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יובילו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ודוק</w:t>
      </w:r>
      <w:r>
        <w:rPr>
          <w:rFonts w:cs="David" w:ascii="David" w:hAnsi="David"/>
          <w:color w:val="000000"/>
          <w:rtl w:val="true"/>
        </w:rPr>
        <w:t xml:space="preserve">: </w:t>
      </w:r>
      <w:r>
        <w:rPr>
          <w:rFonts w:ascii="David" w:hAnsi="David"/>
          <w:color w:val="000000"/>
          <w:rtl w:val="true"/>
        </w:rPr>
        <w:t>הסיכון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שנשקף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לשלום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להילקח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בחשבון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כדין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למטרת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עצם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קטילה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פיקוח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מוסדר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הרשויות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טומן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נתון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תמיד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לחשש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שיתפתה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שימוש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ברגעי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ופחד</w:t>
      </w:r>
      <w:r>
        <w:rPr>
          <w:rFonts w:cs="David" w:ascii="David" w:hAnsi="David"/>
          <w:color w:val="000000"/>
          <w:rtl w:val="true"/>
        </w:rPr>
        <w:t>".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ללמוד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המרבי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שהוכרה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בפסיקה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כמכת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מדינה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כמכת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אזור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שפגיעתה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ובטחונו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מצדיקה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ראו</w:t>
      </w:r>
      <w:r>
        <w:rPr>
          <w:rFonts w:ascii="David" w:hAnsi="David"/>
          <w:color w:val="000000"/>
          <w:rtl w:val="true"/>
        </w:rPr>
        <w:t xml:space="preserve"> 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27417-11-15</w:t>
        </w:r>
      </w:hyperlink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מח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מרכז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לוד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עבד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רחים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17.1.16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cs="David" w:ascii="David" w:hAnsi="David"/>
          <w:color w:val="000000"/>
        </w:rPr>
        <w:t>49160-11-15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מח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מרכז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לוד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נאסר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10.4.16</w:t>
      </w:r>
      <w:r>
        <w:rPr>
          <w:rFonts w:cs="David" w:ascii="David" w:hAnsi="David"/>
          <w:color w:val="000000"/>
          <w:rtl w:val="true"/>
        </w:rPr>
        <w:t xml:space="preserve">), 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מרכז לוד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15337-10-14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ג</w:t>
      </w:r>
      <w:r>
        <w:rPr>
          <w:rFonts w:cs="David" w:ascii="David" w:hAnsi="David"/>
          <w:b/>
          <w:bCs/>
          <w:color w:val="000000"/>
          <w:rtl w:val="true"/>
        </w:rPr>
        <w:t>'</w:t>
      </w:r>
      <w:r>
        <w:rPr>
          <w:rFonts w:ascii="David" w:hAnsi="David"/>
          <w:b/>
          <w:b/>
          <w:bCs/>
          <w:color w:val="000000"/>
          <w:rtl w:val="true"/>
        </w:rPr>
        <w:t>אבר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7.12.14</w:t>
      </w:r>
      <w:r>
        <w:rPr>
          <w:rFonts w:cs="David" w:ascii="David" w:hAnsi="David"/>
          <w:color w:val="000000"/>
          <w:rtl w:val="true"/>
        </w:rPr>
        <w:t>)).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מידת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הפגיעה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בערך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המוגן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מובילה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למסקנה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המוגן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בינוני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והעובדה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הוסלק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עטוף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בשירותים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מחסנית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תואמת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מקלע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מאולתר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דמוי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קרל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גוסטב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סבורני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המוגן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בהחזקה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מקלע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גבוהים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בהחזקה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אקדח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מקלע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ככלל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רב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באקדח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מדיניות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הענישה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הנוהגת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הוטלו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במנעד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רחב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כמפורט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1647-05-15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רמדאן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21.2.16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34414-07-14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6.5.15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מוסלק</w:t>
      </w:r>
      <w:r>
        <w:rPr>
          <w:rtl w:val="true"/>
        </w:rPr>
        <w:t xml:space="preserve">,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32521-05-13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עמאש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30.9.13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כ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30669-04-15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15.06.16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17618-11-13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אלהואשלה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12.3.14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למיטה</w:t>
      </w:r>
      <w:r>
        <w:rPr>
          <w:rtl w:val="true"/>
        </w:rPr>
        <w:t xml:space="preserve">,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28659-02-14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מעאיטה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8.7.14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הקשורות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בביצוע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העבירה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19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ט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לחוק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מקלע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מאולתר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קרל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גוסטב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עטוף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בציפה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כרית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ומוסלק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בשירותים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מחסנית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המתאימה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מוסלקת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דומה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ספק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למעשיו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תכנון</w:t>
      </w:r>
      <w:r>
        <w:rPr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הפוטנציאלי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טעון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במיוחד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מוחזק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מגורים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סירב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לשפוך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הסיבה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להימצאות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והתחמושת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וניסיונות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להעמיק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בנושא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נתקלו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בעמדות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מבוצרות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שטען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והחביא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במטרה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להרחיקו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מאחיו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הקטנים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נתתי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דעתי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להנחיית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פרקליט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המדינה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בנושא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בנשק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אמנם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בהנחיה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שהוצאה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ושאינה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מחייבת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ואולם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להצביע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מדרג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החומרה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לתיקון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113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21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יג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סבורני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מתחם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העונש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14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36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קיימים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מצדיקים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סטייה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לחומרה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לקולא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השיקול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השיקומי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העניין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העמדות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הנוקשות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מחזיק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שוללות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מעורבות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שולית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יעילות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כגורם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סמכותי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ושיקומי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נמוכה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ומשכך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המלצה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בעניינו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גזירת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המתאים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לנאשם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בגזירת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המתאים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בגדרי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שאינן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קשורות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בביצוע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22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color w:val="000000"/>
          <w:rtl w:val="true"/>
        </w:rPr>
        <w:t>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יליד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1990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נעדר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ניהל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אורח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נורמטיבי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ועבד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למחייתו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גדל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בסביבת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מגורים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פשוטה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בידו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לשמור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אורח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נורמטיבי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הטלת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תפגע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ספק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במיוחס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מלאה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מעשיו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color w:val="000000"/>
          <w:rtl w:val="true"/>
        </w:rPr>
        <w:t>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נתתי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דעתי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במעצר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קרוב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לחודשיים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מתאריך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31.7.16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7.8.1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8.8.16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28.9.16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ובנוסף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באיזוק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אלקטרוני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הרתעת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היחיד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בגדרו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לסירובו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להאיר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העמדות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מתבצר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חשש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הרתעת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הרבים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בגדרו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נוכח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חומרתה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ופוטנציאל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המשמעותי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נושאת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בחובה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>בהקשר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יודגש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שאכן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לקבוע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חמור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נוכח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היקף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תופעת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והפוטנציאל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הטמון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זאת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החמרה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להיעשות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בהדרגתיות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לעניין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למשל</w:t>
      </w:r>
      <w:r>
        <w:rPr>
          <w:rFonts w:cs="Times New Roman"/>
          <w:color w:val="000000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2247/10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ימיני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12.1.11</w:t>
      </w:r>
      <w:r>
        <w:rPr>
          <w:color w:val="000000"/>
          <w:rtl w:val="true"/>
        </w:rPr>
        <w:t xml:space="preserve">);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2891/12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רבעא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15.7.12</w:t>
      </w:r>
      <w:r>
        <w:rPr>
          <w:color w:val="000000"/>
          <w:rtl w:val="true"/>
        </w:rPr>
        <w:t xml:space="preserve">);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3164/14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פן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29.6.15</w:t>
      </w:r>
      <w:r>
        <w:rPr>
          <w:color w:val="000000"/>
          <w:rtl w:val="true"/>
        </w:rPr>
        <w:t xml:space="preserve">)). 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>באיזון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בחלקו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הנמוך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נלווים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אשר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על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>-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כן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הנני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גוזר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על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הנאשם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את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העונשים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הבאים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39" w:start="1287" w:end="0"/>
        <w:jc w:val="both"/>
        <w:rPr/>
      </w:pPr>
      <w:r>
        <w:rPr>
          <w:b/>
          <w:bCs/>
        </w:rPr>
        <w:t>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31.7.16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7.8.16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8.8.16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28.9.16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start="1287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  <w:lang w:eastAsia="he-IL"/>
        </w:rPr>
        <w:t>הנאשם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יתייצב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לריצוי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מאסרו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בבית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הסוהר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הדרים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ביום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cs="David" w:ascii="David" w:hAnsi="David"/>
          <w:color w:val="000000"/>
          <w:lang w:eastAsia="he-IL"/>
        </w:rPr>
        <w:t>7.5.17</w:t>
      </w:r>
      <w:r>
        <w:rPr>
          <w:rFonts w:cs="David"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עד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השעה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cs="David" w:ascii="David" w:hAnsi="David"/>
          <w:color w:val="000000"/>
          <w:lang w:eastAsia="he-IL"/>
        </w:rPr>
        <w:t>10:00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כשברשותו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תעודת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זהות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או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דרכון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על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הנאשם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לתאם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את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הכניסה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למאסר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כולל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האפשרות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למיון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מוקדם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עם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ענף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אבחון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ומיון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שב</w:t>
      </w:r>
      <w:r>
        <w:rPr>
          <w:rFonts w:cs="David" w:ascii="David" w:hAnsi="David"/>
          <w:color w:val="000000"/>
          <w:rtl w:val="true"/>
          <w:lang w:eastAsia="he-IL"/>
        </w:rPr>
        <w:t>"</w:t>
      </w:r>
      <w:r>
        <w:rPr>
          <w:rFonts w:ascii="David" w:hAnsi="David"/>
          <w:color w:val="000000"/>
          <w:rtl w:val="true"/>
          <w:lang w:eastAsia="he-IL"/>
        </w:rPr>
        <w:t>ס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טלפון</w:t>
      </w:r>
      <w:r>
        <w:rPr>
          <w:rFonts w:cs="David" w:ascii="David" w:hAnsi="David"/>
          <w:color w:val="000000"/>
          <w:rtl w:val="true"/>
          <w:lang w:eastAsia="he-IL"/>
        </w:rPr>
        <w:t xml:space="preserve">: </w:t>
      </w:r>
      <w:r>
        <w:rPr>
          <w:rFonts w:cs="David" w:ascii="David" w:hAnsi="David"/>
          <w:color w:val="000000"/>
          <w:lang w:eastAsia="he-IL"/>
        </w:rPr>
        <w:t>08-9787377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cs="David" w:ascii="David" w:hAnsi="David"/>
          <w:color w:val="000000"/>
          <w:lang w:eastAsia="he-IL"/>
        </w:rPr>
        <w:t>08-9787336</w:t>
      </w:r>
      <w:r>
        <w:rPr>
          <w:rFonts w:cs="David" w:ascii="David" w:hAnsi="David"/>
          <w:color w:val="000000"/>
          <w:rtl w:val="true"/>
          <w:lang w:eastAsia="he-IL"/>
        </w:rPr>
        <w:t>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start"/>
        <w:rPr>
          <w:rFonts w:ascii="David" w:hAnsi="David" w:cs="David"/>
          <w:color w:val="000000"/>
          <w:lang w:eastAsia="he-IL"/>
        </w:rPr>
      </w:pPr>
      <w:r>
        <w:rPr>
          <w:rFonts w:ascii="David" w:hAnsi="David"/>
          <w:color w:val="000000"/>
          <w:rtl w:val="true"/>
          <w:lang w:eastAsia="he-IL"/>
        </w:rPr>
        <w:t>בהסכמת הצדדים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אני מורה על ביטול האיזוק האלקטרוני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ועל שחרורו של הנאשם ממעצר באיזוק אלקטרוני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 xml:space="preserve">הנאשם ישהה עד להתייצבות למאסר בתנאי מעצר בית לילי מהשעה </w:t>
      </w:r>
      <w:r>
        <w:rPr>
          <w:rFonts w:cs="David" w:ascii="David" w:hAnsi="David"/>
          <w:color w:val="000000"/>
          <w:lang w:eastAsia="he-IL"/>
        </w:rPr>
        <w:t>22:00</w:t>
      </w:r>
      <w:r>
        <w:rPr>
          <w:rFonts w:cs="David"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 xml:space="preserve">ועד לשעה </w:t>
      </w:r>
      <w:r>
        <w:rPr>
          <w:rFonts w:cs="David" w:ascii="David" w:hAnsi="David"/>
          <w:color w:val="000000"/>
          <w:lang w:eastAsia="he-IL"/>
        </w:rPr>
        <w:t>06:00</w:t>
      </w:r>
      <w:r>
        <w:rPr>
          <w:rFonts w:cs="David"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ללא פיקוח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start"/>
        <w:rPr>
          <w:rFonts w:ascii="David" w:hAnsi="David" w:cs="David"/>
          <w:color w:val="000000"/>
          <w:lang w:eastAsia="he-IL"/>
        </w:rPr>
      </w:pPr>
      <w:r>
        <w:rPr>
          <w:rFonts w:ascii="David" w:hAnsi="David"/>
          <w:color w:val="000000"/>
          <w:rtl w:val="true"/>
          <w:lang w:eastAsia="he-IL"/>
        </w:rPr>
        <w:t>הערבויות שניתנו בהליך המ</w:t>
      </w:r>
      <w:r>
        <w:rPr>
          <w:rFonts w:cs="David" w:ascii="David" w:hAnsi="David"/>
          <w:color w:val="000000"/>
          <w:rtl w:val="true"/>
          <w:lang w:eastAsia="he-IL"/>
        </w:rPr>
        <w:t>"</w:t>
      </w:r>
      <w:r>
        <w:rPr>
          <w:rFonts w:ascii="David" w:hAnsi="David"/>
          <w:color w:val="000000"/>
          <w:rtl w:val="true"/>
          <w:lang w:eastAsia="he-IL"/>
        </w:rPr>
        <w:t>ת יוותרו על כנן להבטחת התייצבות הנאשם לריצוי מאסרו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לאחר ההתייצבות למאסר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יגיש ב</w:t>
      </w:r>
      <w:r>
        <w:rPr>
          <w:rFonts w:cs="David" w:ascii="David" w:hAnsi="David"/>
          <w:color w:val="000000"/>
          <w:rtl w:val="true"/>
          <w:lang w:eastAsia="he-IL"/>
        </w:rPr>
        <w:t>"</w:t>
      </w:r>
      <w:r>
        <w:rPr>
          <w:rFonts w:ascii="David" w:hAnsi="David"/>
          <w:color w:val="000000"/>
          <w:rtl w:val="true"/>
          <w:lang w:eastAsia="he-IL"/>
        </w:rPr>
        <w:t>כ הנאשם הודעה על כך לבית</w:t>
      </w:r>
      <w:r>
        <w:rPr>
          <w:rFonts w:cs="David" w:ascii="David" w:hAnsi="David"/>
          <w:color w:val="000000"/>
          <w:rtl w:val="true"/>
          <w:lang w:eastAsia="he-IL"/>
        </w:rPr>
        <w:t>-</w:t>
      </w:r>
      <w:r>
        <w:rPr>
          <w:rFonts w:ascii="David" w:hAnsi="David"/>
          <w:color w:val="000000"/>
          <w:rtl w:val="true"/>
          <w:lang w:eastAsia="he-IL"/>
        </w:rPr>
        <w:t>המשפט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ובכפוף לכך תושב ההפקדה למפקיד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בכפוף לכל הוראה חוקית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start"/>
        <w:rPr>
          <w:rFonts w:ascii="David" w:hAnsi="David" w:cs="David"/>
          <w:color w:val="000000"/>
          <w:lang w:eastAsia="he-IL"/>
        </w:rPr>
      </w:pPr>
      <w:r>
        <w:rPr>
          <w:rFonts w:ascii="David" w:hAnsi="David"/>
          <w:color w:val="000000"/>
          <w:rtl w:val="true"/>
          <w:lang w:eastAsia="he-IL"/>
        </w:rPr>
        <w:t>לאחר היות גזר הדין חלוט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הנשק והתחמושת יושמדו או יחולטו לפי שיקול דעת קצין משטרה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start"/>
        <w:rPr/>
      </w:pPr>
      <w:r>
        <w:rPr>
          <w:rFonts w:ascii="David" w:hAnsi="David"/>
          <w:color w:val="000000"/>
          <w:rtl w:val="true"/>
          <w:lang w:eastAsia="he-IL"/>
        </w:rPr>
        <w:t>מזכירות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בית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המשפט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תמציא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העתק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גזר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דין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לשירות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המבחן</w:t>
      </w:r>
      <w:r>
        <w:rPr>
          <w:rFonts w:cs="David" w:ascii="David" w:hAnsi="David"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 w:before="0" w:after="120"/>
        <w:ind w:firstLine="36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end="0"/>
        <w:jc w:val="star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 w:before="0" w:after="12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ד</w:t>
      </w:r>
      <w:r>
        <w:rPr>
          <w:rFonts w:cs="David" w:ascii="David" w:hAnsi="David"/>
          <w:color w:val="000000"/>
          <w:sz w:val="22"/>
          <w:szCs w:val="22"/>
          <w:rtl w:val="true"/>
        </w:rPr>
        <w:t>"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 עמי קובו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7"/>
      <w:footerReference w:type="default" r:id="rId2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44380-08-16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פרקליטות מחוז מרכז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מחמוד עבד אל האדי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  <w:rPr>
        <w:rFonts w:cs="Times New Roman"/>
      </w:rPr>
    </w:lvl>
    <w:lvl w:ilvl="1">
      <w:start w:val="1"/>
      <w:isLgl/>
      <w:numFmt w:val="decimal"/>
      <w:lvlText w:val="%1.%2"/>
      <w:lvlJc w:val="start"/>
      <w:pPr>
        <w:tabs>
          <w:tab w:val="num" w:pos="360"/>
        </w:tabs>
        <w:ind w:start="360" w:hanging="360"/>
      </w:pPr>
      <w:rPr>
        <w:rFonts w:cs="Times New Roman"/>
      </w:rPr>
    </w:lvl>
    <w:lvl w:ilvl="2">
      <w:start w:val="1"/>
      <w:isLgl/>
      <w:numFmt w:val="decimal"/>
      <w:lvlText w:val="%1.%2.%3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3">
      <w:start w:val="1"/>
      <w:isLgl/>
      <w:numFmt w:val="decimal"/>
      <w:lvlText w:val="%1.%2.%3.%4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4">
      <w:start w:val="1"/>
      <w:isLgl/>
      <w:numFmt w:val="decimal"/>
      <w:lvlText w:val="%1.%2.%3.%4.%5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5">
      <w:start w:val="1"/>
      <w:isLgl/>
      <w:numFmt w:val="decimal"/>
      <w:lvlText w:val="%1.%2.%3.%4.%5.%6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6">
      <w:start w:val="1"/>
      <w:isLgl/>
      <w:numFmt w:val="decimal"/>
      <w:lvlText w:val="%1.%2.%3.%4.%5.%6.%7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7">
      <w:start w:val="1"/>
      <w:isLgl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>
        <w:rFonts w:cs="Times New Roman"/>
      </w:rPr>
    </w:lvl>
    <w:lvl w:ilvl="8">
      <w:start w:val="1"/>
      <w:isLgl/>
      <w:numFmt w:val="decimal"/>
      <w:lvlText w:val="%1.%2.%3.%4.%5.%6.%7.%8.%9"/>
      <w:lvlJc w:val="start"/>
      <w:pPr>
        <w:tabs>
          <w:tab w:val="num" w:pos="1440"/>
        </w:tabs>
        <w:ind w:start="1440" w:hanging="144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720"/>
        </w:tabs>
        <w:ind w:start="720" w:hanging="720"/>
      </w:pPr>
      <w:rPr>
        <w:rFonts w:cs="Times New Roman"/>
      </w:rPr>
    </w:lvl>
    <w:lvl w:ilvl="1">
      <w:start w:val="1"/>
      <w:numFmt w:val="hebrew1"/>
      <w:lvlText w:val="%2."/>
      <w:lvlJc w:val="start"/>
      <w:pPr>
        <w:tabs>
          <w:tab w:val="num" w:pos="1620"/>
        </w:tabs>
        <w:ind w:start="1620" w:hanging="360"/>
      </w:pPr>
      <w:rPr>
        <w:b w:val="false"/>
        <w:bCs w:val="false"/>
        <w:rFonts w:cs="David"/>
      </w:rPr>
    </w:lvl>
    <w:lvl w:ilvl="2">
      <w:start w:val="1"/>
      <w:numFmt w:val="decimal"/>
      <w:lvlText w:val="(%3)"/>
      <w:lvlJc w:val="start"/>
      <w:pPr>
        <w:tabs>
          <w:tab w:val="num" w:pos="2340"/>
        </w:tabs>
        <w:ind w:start="234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David"/>
      <w:b w:val="false"/>
      <w:bCs w:val="false"/>
    </w:rPr>
  </w:style>
  <w:style w:type="character" w:styleId="WW8Num3z3">
    <w:name w:val="WW8Num3z3"/>
    <w:qFormat/>
    <w:rPr>
      <w:rFonts w:cs="Times New Roman"/>
    </w:rPr>
  </w:style>
  <w:style w:type="character" w:styleId="WW8Num4z0">
    <w:name w:val="WW8Num4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default">
    <w:name w:val="default"/>
    <w:qFormat/>
    <w:rPr>
      <w:rFonts w:ascii="Times New Roman" w:hAnsi="Times New Roman" w:cs="Times New Roman"/>
      <w:sz w:val="2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>
      <w:rFonts w:cs="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qFormat/>
    <w:pPr>
      <w:numPr>
        <w:ilvl w:val="0"/>
        <w:numId w:val="2"/>
      </w:numPr>
      <w:spacing w:lineRule="auto" w:line="360" w:before="0" w:after="120"/>
      <w:ind w:hanging="0" w:start="0" w:end="360"/>
    </w:pPr>
    <w:rPr/>
  </w:style>
  <w:style w:type="paragraph" w:styleId="Style12">
    <w:name w:val="כותרת"/>
    <w:basedOn w:val="Normal"/>
    <w:next w:val="List"/>
    <w:qFormat/>
    <w:pPr>
      <w:spacing w:lineRule="auto" w:line="360" w:before="0" w:after="120"/>
    </w:pPr>
    <w:rPr>
      <w:bCs/>
      <w:u w:val="single"/>
    </w:rPr>
  </w:style>
  <w:style w:type="paragraph" w:styleId="Style13">
    <w:name w:val="ממוספר"/>
    <w:basedOn w:val="Normal"/>
    <w:qFormat/>
    <w:pPr>
      <w:numPr>
        <w:ilvl w:val="0"/>
        <w:numId w:val="3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40ja" TargetMode="External"/><Relationship Id="rId6" Type="http://schemas.openxmlformats.org/officeDocument/2006/relationships/hyperlink" Target="http://www.nevo.co.il/law/70301/40jc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case/7791493" TargetMode="External"/><Relationship Id="rId11" Type="http://schemas.openxmlformats.org/officeDocument/2006/relationships/hyperlink" Target="http://www.nevo.co.il/case/20723375" TargetMode="External"/><Relationship Id="rId12" Type="http://schemas.openxmlformats.org/officeDocument/2006/relationships/hyperlink" Target="http://www.nevo.co.il/case/18086234" TargetMode="External"/><Relationship Id="rId13" Type="http://schemas.openxmlformats.org/officeDocument/2006/relationships/hyperlink" Target="http://www.nevo.co.il/case/20241124" TargetMode="External"/><Relationship Id="rId14" Type="http://schemas.openxmlformats.org/officeDocument/2006/relationships/hyperlink" Target="http://www.nevo.co.il/case/17069828" TargetMode="External"/><Relationship Id="rId15" Type="http://schemas.openxmlformats.org/officeDocument/2006/relationships/hyperlink" Target="http://www.nevo.co.il/case/7843715" TargetMode="External"/><Relationship Id="rId16" Type="http://schemas.openxmlformats.org/officeDocument/2006/relationships/hyperlink" Target="http://www.nevo.co.il/case/20206548" TargetMode="External"/><Relationship Id="rId17" Type="http://schemas.openxmlformats.org/officeDocument/2006/relationships/hyperlink" Target="http://www.nevo.co.il/case/8497796" TargetMode="External"/><Relationship Id="rId18" Type="http://schemas.openxmlformats.org/officeDocument/2006/relationships/hyperlink" Target="http://www.nevo.co.il/case/11320144" TargetMode="External"/><Relationship Id="rId19" Type="http://schemas.openxmlformats.org/officeDocument/2006/relationships/hyperlink" Target="http://www.nevo.co.il/law/70301/40i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40jc" TargetMode="External"/><Relationship Id="rId22" Type="http://schemas.openxmlformats.org/officeDocument/2006/relationships/hyperlink" Target="http://www.nevo.co.il/law/70301/40ja" TargetMode="External"/><Relationship Id="rId23" Type="http://schemas.openxmlformats.org/officeDocument/2006/relationships/hyperlink" Target="http://www.nevo.co.il/case/5821139" TargetMode="External"/><Relationship Id="rId24" Type="http://schemas.openxmlformats.org/officeDocument/2006/relationships/hyperlink" Target="http://www.nevo.co.il/case/5581438" TargetMode="External"/><Relationship Id="rId25" Type="http://schemas.openxmlformats.org/officeDocument/2006/relationships/hyperlink" Target="http://www.nevo.co.il/case/16904503" TargetMode="External"/><Relationship Id="rId26" Type="http://schemas.openxmlformats.org/officeDocument/2006/relationships/hyperlink" Target="http://www.nevo.co.il/advertisements/nevo-100.doc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2017-04-13T11:06:00Z</dcterms:created>
  <dc:creator> </dc:creator>
  <dc:description/>
  <cp:keywords/>
  <dc:language>en-IL</dc:language>
  <cp:lastModifiedBy>Hofit</cp:lastModifiedBy>
  <dcterms:modified xsi:type="dcterms:W3CDTF">2017-04-13T11:06:00Z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פרקליטות מחוז מרכז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מחמוד עבד אל האדי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7791493;20723375;18086234;20241124;17069828;7843715;20206548;8497796;11320144;5821139;5581438;16904503</vt:lpwstr>
  </property>
  <property fmtid="{D5CDD505-2E9C-101B-9397-08002B2CF9AE}" pid="9" name="CITY">
    <vt:lpwstr>רמ'</vt:lpwstr>
  </property>
  <property fmtid="{D5CDD505-2E9C-101B-9397-08002B2CF9AE}" pid="10" name="DATE">
    <vt:lpwstr>20170406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ד#ר עמי קובו</vt:lpwstr>
  </property>
  <property fmtid="{D5CDD505-2E9C-101B-9397-08002B2CF9AE}" pid="14" name="LAWLISTTMP1">
    <vt:lpwstr>70301/144.a:2;040i;40jc;40ja</vt:lpwstr>
  </property>
  <property fmtid="{D5CDD505-2E9C-101B-9397-08002B2CF9AE}" pid="15" name="LAWYER">
    <vt:lpwstr>ינאי גורני;יוסי בוקר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44380</vt:lpwstr>
  </property>
  <property fmtid="{D5CDD505-2E9C-101B-9397-08002B2CF9AE}" pid="22" name="NEWPARTB">
    <vt:lpwstr>08</vt:lpwstr>
  </property>
  <property fmtid="{D5CDD505-2E9C-101B-9397-08002B2CF9AE}" pid="23" name="NEWPARTC">
    <vt:lpwstr>16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380020170406</vt:lpwstr>
  </property>
  <property fmtid="{D5CDD505-2E9C-101B-9397-08002B2CF9AE}" pid="34" name="TYPE_N_DATE">
    <vt:lpwstr>38020170406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