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4"/>
        <w:gridCol w:w="636"/>
        <w:gridCol w:w="61"/>
        <w:gridCol w:w="2339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60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44512-05-10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קלר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9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3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יגאל קלר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4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4"/>
      <w:r>
        <w:rPr>
          <w:b/>
          <w:b/>
          <w:bCs/>
          <w:rtl w:val="true"/>
        </w:rPr>
        <w:t xml:space="preserve"> המאשימה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יאיר הרשקוביץ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הנאשם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סמולסקי רונן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 – 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ביום </w:t>
      </w:r>
      <w:r>
        <w:rPr/>
        <w:t>15.6.10</w:t>
      </w:r>
      <w:r>
        <w:rPr>
          <w:rtl w:val="true"/>
        </w:rPr>
        <w:t xml:space="preserve"> </w:t>
      </w:r>
      <w:r>
        <w:rPr>
          <w:rtl w:val="true"/>
        </w:rPr>
        <w:t xml:space="preserve">הורשע הנאשם בעבירה של החזקת נשק ותחמושת בניגוד לסעיף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וסיפא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באירוע שסיומו היה </w:t>
      </w:r>
      <w:r>
        <w:rPr/>
        <w:t>23.5.10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הגיעו להסדר טיעון לפיו הנאשם יודה ויורשע</w:t>
      </w:r>
      <w:r>
        <w:rPr>
          <w:rtl w:val="true"/>
        </w:rPr>
        <w:t xml:space="preserve">, </w:t>
      </w:r>
      <w:r>
        <w:rPr>
          <w:rtl w:val="true"/>
        </w:rPr>
        <w:t>ויופנה לממונה על עבודות השירות ובאם ימצא מתאים</w:t>
      </w:r>
      <w:r>
        <w:rPr>
          <w:rtl w:val="true"/>
        </w:rPr>
        <w:t xml:space="preserve">, </w:t>
      </w:r>
      <w:r>
        <w:rPr>
          <w:rtl w:val="true"/>
        </w:rPr>
        <w:t>יעתרו הצדדים במשותף 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 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לאחר שבחן את הנאשם</w:t>
      </w:r>
      <w:r>
        <w:rPr>
          <w:rtl w:val="true"/>
        </w:rPr>
        <w:t xml:space="preserve">, </w:t>
      </w:r>
      <w:r>
        <w:rPr>
          <w:rtl w:val="true"/>
        </w:rPr>
        <w:t>קבע כי הנאשם כשיר לבצע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 עיון בחומר שבפני ולאור העובדה</w:t>
      </w:r>
      <w:r>
        <w:rPr>
          <w:rtl w:val="true"/>
        </w:rPr>
        <w:t xml:space="preserve">, </w:t>
      </w:r>
      <w:r>
        <w:rPr>
          <w:rtl w:val="true"/>
        </w:rPr>
        <w:t>כי הנאשם הודה בהזדמנות הראשונה</w:t>
      </w:r>
      <w:r>
        <w:rPr>
          <w:rtl w:val="true"/>
        </w:rPr>
        <w:t xml:space="preserve">, </w:t>
      </w:r>
      <w:r>
        <w:rPr>
          <w:rtl w:val="true"/>
        </w:rPr>
        <w:t>חסך מזמנו של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אני מאשר את ההסדר וגוזר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מאסר בפועל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אשר ירוצה בדרך של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עבודות השירות יבוצעו בצ</w:t>
      </w:r>
      <w:r>
        <w:rPr>
          <w:rtl w:val="true"/>
        </w:rPr>
        <w:t>'</w:t>
      </w:r>
      <w:r>
        <w:rPr>
          <w:rtl w:val="true"/>
        </w:rPr>
        <w:t>יימס כפ</w:t>
      </w:r>
      <w:r>
        <w:rPr>
          <w:rtl w:val="true"/>
        </w:rPr>
        <w:t>"</w:t>
      </w:r>
      <w:r>
        <w:rPr>
          <w:rtl w:val="true"/>
        </w:rPr>
        <w:t>ס בימים 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 xml:space="preserve">בשעות </w:t>
      </w:r>
      <w:r>
        <w:rPr/>
        <w:t>07:30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 xml:space="preserve">החל מיום </w:t>
      </w:r>
      <w:r>
        <w:rPr/>
        <w:t>3.8.10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במועד זה על הנאשם להתייצב עד השעה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 מחוז מרכז יחידת עבודות שירות</w:t>
      </w:r>
      <w:r>
        <w:rPr>
          <w:rtl w:val="true"/>
        </w:rPr>
        <w:t xml:space="preserve">, </w:t>
      </w:r>
      <w:r>
        <w:rPr>
          <w:rtl w:val="true"/>
        </w:rPr>
        <w:t>בפני המפקח האחראי מר שמחי משה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מובהר לנאשם</w:t>
      </w:r>
      <w:r>
        <w:rPr>
          <w:rtl w:val="true"/>
        </w:rPr>
        <w:t xml:space="preserve">, </w:t>
      </w:r>
      <w:r>
        <w:rPr>
          <w:rtl w:val="true"/>
        </w:rPr>
        <w:t>כי עליו לעדכן את משרד הממונה בכל שינוי</w:t>
      </w:r>
      <w:r>
        <w:rPr>
          <w:rtl w:val="true"/>
        </w:rPr>
        <w:t xml:space="preserve">, </w:t>
      </w:r>
      <w:r>
        <w:rPr>
          <w:rtl w:val="true"/>
        </w:rPr>
        <w:t>אם יחול בכתובת מגוריו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כי עליו לעמוד בתנאי הפיקוח ובביקורות הפתע וכי כל הפרה בעבודות השירות תביא להפסקה מנהלית וריצוי העונש במאסר 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שלא יעבור עבירה בה 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קנס בסך של </w:t>
      </w:r>
      <w:r>
        <w:rPr/>
        <w:t>1800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החל מם </w:t>
      </w:r>
      <w:r>
        <w:rPr/>
        <w:t>1.9.10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שלאחר מכן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ניתן צו להשמדת המוצגים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 ד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 xml:space="preserve">גולדס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אהרן ד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גולדס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נשיאה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מאיה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גרוואני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/Users/liorb/Downloads/study2025-p2/SH-10-05-44512-563.doc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44512-05-10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יגאל קלר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LineNumber">
    <w:name w:val="line number"/>
    <w:basedOn w:val="Style14"/>
    <w:rPr/>
  </w:style>
  <w:style w:type="character" w:styleId="Hyper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2010-07-16T20:23:00Z</dcterms:created>
  <dc:creator> </dc:creator>
  <dc:description/>
  <cp:keywords/>
  <dc:language>en-IL</dc:language>
  <cp:lastModifiedBy>Anat</cp:lastModifiedBy>
  <dcterms:modified xsi:type="dcterms:W3CDTF">2010-07-16T20:23:00Z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ישראל;נ ג ד</vt:lpwstr>
  </property>
  <property fmtid="{D5CDD505-2E9C-101B-9397-08002B2CF9AE}" pid="3" name="APPELLEE">
    <vt:lpwstr>יגאל קלר</vt:lpwstr>
  </property>
  <property fmtid="{D5CDD505-2E9C-101B-9397-08002B2CF9AE}" pid="4" name="CITY">
    <vt:lpwstr>כ"ס</vt:lpwstr>
  </property>
  <property fmtid="{D5CDD505-2E9C-101B-9397-08002B2CF9AE}" pid="5" name="DATE">
    <vt:lpwstr>20100713</vt:lpwstr>
  </property>
  <property fmtid="{D5CDD505-2E9C-101B-9397-08002B2CF9AE}" pid="6" name="JUDGE">
    <vt:lpwstr>אהרן ד. גולדס</vt:lpwstr>
  </property>
  <property fmtid="{D5CDD505-2E9C-101B-9397-08002B2CF9AE}" pid="7" name="LAWYER">
    <vt:lpwstr>יאיר הרשקוביץ;סמולסקי רונן</vt:lpwstr>
  </property>
  <property fmtid="{D5CDD505-2E9C-101B-9397-08002B2CF9AE}" pid="8" name="NEWPARTA">
    <vt:lpwstr>44512</vt:lpwstr>
  </property>
  <property fmtid="{D5CDD505-2E9C-101B-9397-08002B2CF9AE}" pid="9" name="NEWPARTB">
    <vt:lpwstr>05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05 44512 563 htm</vt:lpwstr>
  </property>
  <property fmtid="{D5CDD505-2E9C-101B-9397-08002B2CF9AE}" pid="14" name="TYPE">
    <vt:lpwstr>3</vt:lpwstr>
  </property>
  <property fmtid="{D5CDD505-2E9C-101B-9397-08002B2CF9AE}" pid="15" name="TYPE_ABS_DATE">
    <vt:lpwstr>380020100713</vt:lpwstr>
  </property>
  <property fmtid="{D5CDD505-2E9C-101B-9397-08002B2CF9AE}" pid="16" name="TYPE_N_DATE">
    <vt:lpwstr>38020100713</vt:lpwstr>
  </property>
  <property fmtid="{D5CDD505-2E9C-101B-9397-08002B2CF9AE}" pid="17" name="WORDNUMPAGES">
    <vt:lpwstr>2</vt:lpwstr>
  </property>
</Properties>
</file>